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84FED" w:rsidRPr="00584FED" w:rsidTr="00584FED">
        <w:trPr>
          <w:tblCellSpacing w:w="0" w:type="dxa"/>
        </w:trPr>
        <w:tc>
          <w:tcPr>
            <w:tcW w:w="3348" w:type="dxa"/>
            <w:shd w:val="clear" w:color="auto" w:fill="FFFFFF"/>
            <w:tcMar>
              <w:top w:w="0" w:type="dxa"/>
              <w:left w:w="108" w:type="dxa"/>
              <w:bottom w:w="0" w:type="dxa"/>
              <w:right w:w="108" w:type="dxa"/>
            </w:tcMar>
            <w:hideMark/>
          </w:tcPr>
          <w:p w:rsidR="00584FED" w:rsidRPr="00584FED" w:rsidRDefault="00584FED" w:rsidP="00584FED">
            <w:pPr>
              <w:spacing w:before="120" w:after="120" w:line="234" w:lineRule="atLeast"/>
              <w:jc w:val="center"/>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rPr>
              <w:t>QUỐC HỘI</w:t>
            </w:r>
            <w:r w:rsidRPr="00584FED">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584FED" w:rsidRPr="00584FED" w:rsidRDefault="00584FED" w:rsidP="00584FED">
            <w:pPr>
              <w:spacing w:before="120" w:after="120" w:line="234" w:lineRule="atLeast"/>
              <w:jc w:val="center"/>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rPr>
              <w:t>CỘNG HÒA XÃ HỘI CHỦ NGHĨA VIỆT NAM</w:t>
            </w:r>
            <w:r w:rsidRPr="00584FED">
              <w:rPr>
                <w:rFonts w:ascii="Times New Roman" w:eastAsia="Times New Roman" w:hAnsi="Times New Roman" w:cs="Times New Roman"/>
                <w:b/>
                <w:bCs/>
                <w:color w:val="000000"/>
                <w:sz w:val="28"/>
                <w:szCs w:val="28"/>
              </w:rPr>
              <w:br/>
            </w:r>
            <w:proofErr w:type="spellStart"/>
            <w:r w:rsidRPr="00584FED">
              <w:rPr>
                <w:rFonts w:ascii="Times New Roman" w:eastAsia="Times New Roman" w:hAnsi="Times New Roman" w:cs="Times New Roman"/>
                <w:b/>
                <w:bCs/>
                <w:color w:val="000000"/>
                <w:sz w:val="28"/>
                <w:szCs w:val="28"/>
              </w:rPr>
              <w:t>Độc</w:t>
            </w:r>
            <w:proofErr w:type="spellEnd"/>
            <w:r w:rsidRPr="00584FED">
              <w:rPr>
                <w:rFonts w:ascii="Times New Roman" w:eastAsia="Times New Roman" w:hAnsi="Times New Roman" w:cs="Times New Roman"/>
                <w:b/>
                <w:bCs/>
                <w:color w:val="000000"/>
                <w:sz w:val="28"/>
                <w:szCs w:val="28"/>
              </w:rPr>
              <w:t xml:space="preserve"> </w:t>
            </w:r>
            <w:proofErr w:type="spellStart"/>
            <w:r w:rsidRPr="00584FED">
              <w:rPr>
                <w:rFonts w:ascii="Times New Roman" w:eastAsia="Times New Roman" w:hAnsi="Times New Roman" w:cs="Times New Roman"/>
                <w:b/>
                <w:bCs/>
                <w:color w:val="000000"/>
                <w:sz w:val="28"/>
                <w:szCs w:val="28"/>
              </w:rPr>
              <w:t>lập</w:t>
            </w:r>
            <w:proofErr w:type="spellEnd"/>
            <w:r w:rsidRPr="00584FED">
              <w:rPr>
                <w:rFonts w:ascii="Times New Roman" w:eastAsia="Times New Roman" w:hAnsi="Times New Roman" w:cs="Times New Roman"/>
                <w:b/>
                <w:bCs/>
                <w:color w:val="000000"/>
                <w:sz w:val="28"/>
                <w:szCs w:val="28"/>
              </w:rPr>
              <w:t xml:space="preserve"> - </w:t>
            </w:r>
            <w:proofErr w:type="spellStart"/>
            <w:r w:rsidRPr="00584FED">
              <w:rPr>
                <w:rFonts w:ascii="Times New Roman" w:eastAsia="Times New Roman" w:hAnsi="Times New Roman" w:cs="Times New Roman"/>
                <w:b/>
                <w:bCs/>
                <w:color w:val="000000"/>
                <w:sz w:val="28"/>
                <w:szCs w:val="28"/>
              </w:rPr>
              <w:t>Tự</w:t>
            </w:r>
            <w:proofErr w:type="spellEnd"/>
            <w:r w:rsidRPr="00584FED">
              <w:rPr>
                <w:rFonts w:ascii="Times New Roman" w:eastAsia="Times New Roman" w:hAnsi="Times New Roman" w:cs="Times New Roman"/>
                <w:b/>
                <w:bCs/>
                <w:color w:val="000000"/>
                <w:sz w:val="28"/>
                <w:szCs w:val="28"/>
              </w:rPr>
              <w:t xml:space="preserve"> do - </w:t>
            </w:r>
            <w:proofErr w:type="spellStart"/>
            <w:r w:rsidRPr="00584FED">
              <w:rPr>
                <w:rFonts w:ascii="Times New Roman" w:eastAsia="Times New Roman" w:hAnsi="Times New Roman" w:cs="Times New Roman"/>
                <w:b/>
                <w:bCs/>
                <w:color w:val="000000"/>
                <w:sz w:val="28"/>
                <w:szCs w:val="28"/>
              </w:rPr>
              <w:t>Hạnh</w:t>
            </w:r>
            <w:proofErr w:type="spellEnd"/>
            <w:r w:rsidRPr="00584FED">
              <w:rPr>
                <w:rFonts w:ascii="Times New Roman" w:eastAsia="Times New Roman" w:hAnsi="Times New Roman" w:cs="Times New Roman"/>
                <w:b/>
                <w:bCs/>
                <w:color w:val="000000"/>
                <w:sz w:val="28"/>
                <w:szCs w:val="28"/>
              </w:rPr>
              <w:t xml:space="preserve"> </w:t>
            </w:r>
            <w:proofErr w:type="spellStart"/>
            <w:r w:rsidRPr="00584FED">
              <w:rPr>
                <w:rFonts w:ascii="Times New Roman" w:eastAsia="Times New Roman" w:hAnsi="Times New Roman" w:cs="Times New Roman"/>
                <w:b/>
                <w:bCs/>
                <w:color w:val="000000"/>
                <w:sz w:val="28"/>
                <w:szCs w:val="28"/>
              </w:rPr>
              <w:t>phúc</w:t>
            </w:r>
            <w:proofErr w:type="spellEnd"/>
            <w:r w:rsidRPr="00584FED">
              <w:rPr>
                <w:rFonts w:ascii="Times New Roman" w:eastAsia="Times New Roman" w:hAnsi="Times New Roman" w:cs="Times New Roman"/>
                <w:b/>
                <w:bCs/>
                <w:color w:val="000000"/>
                <w:sz w:val="28"/>
                <w:szCs w:val="28"/>
              </w:rPr>
              <w:br/>
              <w:t>---------------</w:t>
            </w:r>
          </w:p>
        </w:tc>
      </w:tr>
      <w:tr w:rsidR="00584FED" w:rsidRPr="00584FED" w:rsidTr="00584FED">
        <w:trPr>
          <w:tblCellSpacing w:w="0" w:type="dxa"/>
        </w:trPr>
        <w:tc>
          <w:tcPr>
            <w:tcW w:w="3348" w:type="dxa"/>
            <w:shd w:val="clear" w:color="auto" w:fill="FFFFFF"/>
            <w:tcMar>
              <w:top w:w="0" w:type="dxa"/>
              <w:left w:w="108" w:type="dxa"/>
              <w:bottom w:w="0" w:type="dxa"/>
              <w:right w:w="108" w:type="dxa"/>
            </w:tcMar>
            <w:hideMark/>
          </w:tcPr>
          <w:p w:rsidR="00584FED" w:rsidRPr="00584FED" w:rsidRDefault="00584FED" w:rsidP="00584FED">
            <w:pPr>
              <w:spacing w:before="120" w:after="120" w:line="234" w:lineRule="atLeast"/>
              <w:jc w:val="center"/>
              <w:rPr>
                <w:rFonts w:ascii="Times New Roman" w:eastAsia="Times New Roman" w:hAnsi="Times New Roman" w:cs="Times New Roman"/>
                <w:color w:val="000000"/>
                <w:sz w:val="28"/>
                <w:szCs w:val="28"/>
              </w:rPr>
            </w:pPr>
            <w:proofErr w:type="spellStart"/>
            <w:r w:rsidRPr="00584FED">
              <w:rPr>
                <w:rFonts w:ascii="Times New Roman" w:eastAsia="Times New Roman" w:hAnsi="Times New Roman" w:cs="Times New Roman"/>
                <w:color w:val="000000"/>
                <w:sz w:val="28"/>
                <w:szCs w:val="28"/>
              </w:rPr>
              <w:t>Số</w:t>
            </w:r>
            <w:proofErr w:type="spellEnd"/>
            <w:r w:rsidRPr="00584FED">
              <w:rPr>
                <w:rFonts w:ascii="Times New Roman" w:eastAsia="Times New Roman" w:hAnsi="Times New Roman" w:cs="Times New Roman"/>
                <w:color w:val="000000"/>
                <w:sz w:val="28"/>
                <w:szCs w:val="28"/>
              </w:rPr>
              <w:t>: 46/2014/QH13</w:t>
            </w:r>
          </w:p>
        </w:tc>
        <w:tc>
          <w:tcPr>
            <w:tcW w:w="5508" w:type="dxa"/>
            <w:shd w:val="clear" w:color="auto" w:fill="FFFFFF"/>
            <w:tcMar>
              <w:top w:w="0" w:type="dxa"/>
              <w:left w:w="108" w:type="dxa"/>
              <w:bottom w:w="0" w:type="dxa"/>
              <w:right w:w="108" w:type="dxa"/>
            </w:tcMar>
            <w:hideMark/>
          </w:tcPr>
          <w:p w:rsidR="00584FED" w:rsidRPr="00584FED" w:rsidRDefault="00584FED" w:rsidP="00584FED">
            <w:pPr>
              <w:spacing w:before="120" w:after="120" w:line="234" w:lineRule="atLeast"/>
              <w:jc w:val="right"/>
              <w:rPr>
                <w:rFonts w:ascii="Times New Roman" w:eastAsia="Times New Roman" w:hAnsi="Times New Roman" w:cs="Times New Roman"/>
                <w:color w:val="000000"/>
                <w:sz w:val="28"/>
                <w:szCs w:val="28"/>
              </w:rPr>
            </w:pPr>
            <w:proofErr w:type="spellStart"/>
            <w:r w:rsidRPr="00584FED">
              <w:rPr>
                <w:rFonts w:ascii="Times New Roman" w:eastAsia="Times New Roman" w:hAnsi="Times New Roman" w:cs="Times New Roman"/>
                <w:i/>
                <w:iCs/>
                <w:color w:val="000000"/>
                <w:sz w:val="28"/>
                <w:szCs w:val="28"/>
              </w:rPr>
              <w:t>Hà</w:t>
            </w:r>
            <w:proofErr w:type="spellEnd"/>
            <w:r w:rsidRPr="00584FED">
              <w:rPr>
                <w:rFonts w:ascii="Times New Roman" w:eastAsia="Times New Roman" w:hAnsi="Times New Roman" w:cs="Times New Roman"/>
                <w:i/>
                <w:iCs/>
                <w:color w:val="000000"/>
                <w:sz w:val="28"/>
                <w:szCs w:val="28"/>
              </w:rPr>
              <w:t xml:space="preserve"> </w:t>
            </w:r>
            <w:proofErr w:type="spellStart"/>
            <w:r w:rsidRPr="00584FED">
              <w:rPr>
                <w:rFonts w:ascii="Times New Roman" w:eastAsia="Times New Roman" w:hAnsi="Times New Roman" w:cs="Times New Roman"/>
                <w:i/>
                <w:iCs/>
                <w:color w:val="000000"/>
                <w:sz w:val="28"/>
                <w:szCs w:val="28"/>
              </w:rPr>
              <w:t>Nội</w:t>
            </w:r>
            <w:proofErr w:type="spellEnd"/>
            <w:r w:rsidRPr="00584FED">
              <w:rPr>
                <w:rFonts w:ascii="Times New Roman" w:eastAsia="Times New Roman" w:hAnsi="Times New Roman" w:cs="Times New Roman"/>
                <w:i/>
                <w:iCs/>
                <w:color w:val="000000"/>
                <w:sz w:val="28"/>
                <w:szCs w:val="28"/>
              </w:rPr>
              <w:t xml:space="preserve">, </w:t>
            </w:r>
            <w:proofErr w:type="spellStart"/>
            <w:r w:rsidRPr="00584FED">
              <w:rPr>
                <w:rFonts w:ascii="Times New Roman" w:eastAsia="Times New Roman" w:hAnsi="Times New Roman" w:cs="Times New Roman"/>
                <w:i/>
                <w:iCs/>
                <w:color w:val="000000"/>
                <w:sz w:val="28"/>
                <w:szCs w:val="28"/>
              </w:rPr>
              <w:t>ngày</w:t>
            </w:r>
            <w:proofErr w:type="spellEnd"/>
            <w:r w:rsidRPr="00584FED">
              <w:rPr>
                <w:rFonts w:ascii="Times New Roman" w:eastAsia="Times New Roman" w:hAnsi="Times New Roman" w:cs="Times New Roman"/>
                <w:i/>
                <w:iCs/>
                <w:color w:val="000000"/>
                <w:sz w:val="28"/>
                <w:szCs w:val="28"/>
              </w:rPr>
              <w:t xml:space="preserve"> 13 </w:t>
            </w:r>
            <w:proofErr w:type="spellStart"/>
            <w:r w:rsidRPr="00584FED">
              <w:rPr>
                <w:rFonts w:ascii="Times New Roman" w:eastAsia="Times New Roman" w:hAnsi="Times New Roman" w:cs="Times New Roman"/>
                <w:i/>
                <w:iCs/>
                <w:color w:val="000000"/>
                <w:sz w:val="28"/>
                <w:szCs w:val="28"/>
              </w:rPr>
              <w:t>tháng</w:t>
            </w:r>
            <w:proofErr w:type="spellEnd"/>
            <w:r w:rsidRPr="00584FED">
              <w:rPr>
                <w:rFonts w:ascii="Times New Roman" w:eastAsia="Times New Roman" w:hAnsi="Times New Roman" w:cs="Times New Roman"/>
                <w:i/>
                <w:iCs/>
                <w:color w:val="000000"/>
                <w:sz w:val="28"/>
                <w:szCs w:val="28"/>
              </w:rPr>
              <w:t xml:space="preserve"> 06 </w:t>
            </w:r>
            <w:proofErr w:type="spellStart"/>
            <w:r w:rsidRPr="00584FED">
              <w:rPr>
                <w:rFonts w:ascii="Times New Roman" w:eastAsia="Times New Roman" w:hAnsi="Times New Roman" w:cs="Times New Roman"/>
                <w:i/>
                <w:iCs/>
                <w:color w:val="000000"/>
                <w:sz w:val="28"/>
                <w:szCs w:val="28"/>
              </w:rPr>
              <w:t>năm</w:t>
            </w:r>
            <w:proofErr w:type="spellEnd"/>
            <w:r w:rsidRPr="00584FED">
              <w:rPr>
                <w:rFonts w:ascii="Times New Roman" w:eastAsia="Times New Roman" w:hAnsi="Times New Roman" w:cs="Times New Roman"/>
                <w:i/>
                <w:iCs/>
                <w:color w:val="000000"/>
                <w:sz w:val="28"/>
                <w:szCs w:val="28"/>
              </w:rPr>
              <w:t xml:space="preserve"> 2014</w:t>
            </w:r>
          </w:p>
        </w:tc>
      </w:tr>
    </w:tbl>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w:t>
      </w:r>
    </w:p>
    <w:p w:rsidR="00584FED" w:rsidRPr="00584FED" w:rsidRDefault="00584FED" w:rsidP="00584FE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584FED">
        <w:rPr>
          <w:rFonts w:ascii="Times New Roman" w:eastAsia="Times New Roman" w:hAnsi="Times New Roman" w:cs="Times New Roman"/>
          <w:b/>
          <w:bCs/>
          <w:color w:val="000000"/>
          <w:sz w:val="28"/>
          <w:szCs w:val="28"/>
          <w:lang w:val="vi-VN"/>
        </w:rPr>
        <w:t>LUẬT</w:t>
      </w:r>
      <w:bookmarkEnd w:id="0"/>
    </w:p>
    <w:p w:rsidR="00584FED" w:rsidRPr="00584FED" w:rsidRDefault="00584FED" w:rsidP="00584FE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584FED">
        <w:rPr>
          <w:rFonts w:ascii="Times New Roman" w:eastAsia="Times New Roman" w:hAnsi="Times New Roman" w:cs="Times New Roman"/>
          <w:color w:val="000000"/>
          <w:sz w:val="28"/>
          <w:szCs w:val="28"/>
          <w:lang w:val="vi-VN"/>
        </w:rPr>
        <w:t>SỬA ĐỔI, BỔ SUNG MỘT SỐ ĐIỀU CỦA LUẬT BẢO HIỂM Y TẾ</w:t>
      </w:r>
      <w:bookmarkEnd w:id="1"/>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i/>
          <w:iCs/>
          <w:color w:val="000000"/>
          <w:sz w:val="28"/>
          <w:szCs w:val="28"/>
          <w:lang w:val="vi-VN"/>
        </w:rPr>
        <w:t>Căn cứ Hiến pháp nước Cộng hòa xã hội chủ nghĩa Việt Nam;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i/>
          <w:iCs/>
          <w:color w:val="000000"/>
          <w:sz w:val="28"/>
          <w:szCs w:val="28"/>
          <w:lang w:val="vi-VN"/>
        </w:rPr>
        <w:t>Quốc hội ban hành Luật sửa đổi, bổ sung một số điều của Luật bảo hiểm y tế số 25/2008/QH12.</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584FED">
        <w:rPr>
          <w:rFonts w:ascii="Times New Roman" w:eastAsia="Times New Roman" w:hAnsi="Times New Roman" w:cs="Times New Roman"/>
          <w:b/>
          <w:bCs/>
          <w:color w:val="000000"/>
          <w:sz w:val="28"/>
          <w:szCs w:val="28"/>
          <w:lang w:val="vi-VN"/>
        </w:rPr>
        <w:t>Điều 1.</w:t>
      </w:r>
      <w:bookmarkEnd w:id="2"/>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3" w:name="dieu_1_name"/>
      <w:r w:rsidRPr="00584FED">
        <w:rPr>
          <w:rFonts w:ascii="Times New Roman" w:eastAsia="Times New Roman" w:hAnsi="Times New Roman" w:cs="Times New Roman"/>
          <w:color w:val="000000"/>
          <w:sz w:val="28"/>
          <w:szCs w:val="28"/>
          <w:lang w:val="vi-VN"/>
        </w:rPr>
        <w:t>Sửa đổi, bổ sung một số điều của Luật bảo hiểm y tế:</w:t>
      </w:r>
      <w:bookmarkEnd w:id="3"/>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Sửa đổi, bổ sung </w:t>
      </w:r>
      <w:bookmarkStart w:id="4" w:name="dc_1"/>
      <w:r w:rsidRPr="00584FED">
        <w:rPr>
          <w:rFonts w:ascii="Times New Roman" w:eastAsia="Times New Roman" w:hAnsi="Times New Roman" w:cs="Times New Roman"/>
          <w:color w:val="000000"/>
          <w:sz w:val="28"/>
          <w:szCs w:val="28"/>
          <w:lang w:val="vi-VN"/>
        </w:rPr>
        <w:t>khoản 1</w:t>
      </w:r>
      <w:bookmarkEnd w:id="4"/>
      <w:r w:rsidRPr="00584FED">
        <w:rPr>
          <w:rFonts w:ascii="Times New Roman" w:eastAsia="Times New Roman" w:hAnsi="Times New Roman" w:cs="Times New Roman"/>
          <w:color w:val="000000"/>
          <w:sz w:val="28"/>
          <w:szCs w:val="28"/>
          <w:lang w:val="vi-VN"/>
        </w:rPr>
        <w:t>; bổ sung khoản 7 và khoản 8 </w:t>
      </w:r>
      <w:bookmarkStart w:id="5" w:name="dc_100"/>
      <w:r w:rsidRPr="00584FED">
        <w:rPr>
          <w:rFonts w:ascii="Times New Roman" w:eastAsia="Times New Roman" w:hAnsi="Times New Roman" w:cs="Times New Roman"/>
          <w:color w:val="000000"/>
          <w:sz w:val="28"/>
          <w:szCs w:val="28"/>
          <w:lang w:val="vi-VN"/>
        </w:rPr>
        <w:t>Điều 2</w:t>
      </w:r>
      <w:bookmarkEnd w:id="5"/>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w:t>
      </w:r>
      <w:r w:rsidRPr="00584FED">
        <w:rPr>
          <w:rFonts w:ascii="Times New Roman" w:eastAsia="Times New Roman" w:hAnsi="Times New Roman" w:cs="Times New Roman"/>
          <w:i/>
          <w:iCs/>
          <w:color w:val="000000"/>
          <w:sz w:val="28"/>
          <w:szCs w:val="28"/>
          <w:lang w:val="vi-VN"/>
        </w:rPr>
        <w:t>Bảo hiểm y tế</w:t>
      </w:r>
      <w:r w:rsidRPr="00584FED">
        <w:rPr>
          <w:rFonts w:ascii="Times New Roman" w:eastAsia="Times New Roman" w:hAnsi="Times New Roman" w:cs="Times New Roman"/>
          <w:color w:val="000000"/>
          <w:sz w:val="28"/>
          <w:szCs w:val="28"/>
          <w:lang w:val="vi-VN"/>
        </w:rPr>
        <w:t> là hình thức bảo hiểm bắt buộc được áp dụng đối với các đối tượng theo quy định </w:t>
      </w:r>
      <w:r w:rsidRPr="00584FED">
        <w:rPr>
          <w:rFonts w:ascii="Times New Roman" w:eastAsia="Times New Roman" w:hAnsi="Times New Roman" w:cs="Times New Roman"/>
          <w:color w:val="000000"/>
          <w:sz w:val="28"/>
          <w:szCs w:val="28"/>
          <w:shd w:val="clear" w:color="auto" w:fill="FFFFFF"/>
          <w:lang w:val="vi-VN"/>
        </w:rPr>
        <w:t>của</w:t>
      </w:r>
      <w:r w:rsidRPr="00584FED">
        <w:rPr>
          <w:rFonts w:ascii="Times New Roman" w:eastAsia="Times New Roman" w:hAnsi="Times New Roman" w:cs="Times New Roman"/>
          <w:color w:val="000000"/>
          <w:sz w:val="28"/>
          <w:szCs w:val="28"/>
          <w:lang w:val="vi-VN"/>
        </w:rPr>
        <w:t> Luật này để chăm sóc sức khỏe, không vì mục đích lợi nhuận do Nhà nước tổ chức thực hiện.”</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“7. </w:t>
      </w:r>
      <w:r w:rsidRPr="00584FED">
        <w:rPr>
          <w:rFonts w:ascii="Times New Roman" w:eastAsia="Times New Roman" w:hAnsi="Times New Roman" w:cs="Times New Roman"/>
          <w:i/>
          <w:iCs/>
          <w:color w:val="000000"/>
          <w:sz w:val="28"/>
          <w:szCs w:val="28"/>
          <w:lang w:val="vi-VN"/>
        </w:rPr>
        <w:t>Hộ gia đình tham gia bảo hiểm y tế</w:t>
      </w:r>
      <w:r w:rsidRPr="00584FED">
        <w:rPr>
          <w:rFonts w:ascii="Times New Roman" w:eastAsia="Times New Roman" w:hAnsi="Times New Roman" w:cs="Times New Roman"/>
          <w:color w:val="000000"/>
          <w:sz w:val="28"/>
          <w:szCs w:val="28"/>
          <w:lang w:val="vi-VN"/>
        </w:rPr>
        <w:t> (sau đây gọi chung là hộ gia đình) bao gồm toàn bộ người có tên trong sổ hộ khẩu hoặc sổ tạm trú.</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8. </w:t>
      </w:r>
      <w:r w:rsidRPr="00584FED">
        <w:rPr>
          <w:rFonts w:ascii="Times New Roman" w:eastAsia="Times New Roman" w:hAnsi="Times New Roman" w:cs="Times New Roman"/>
          <w:i/>
          <w:iCs/>
          <w:color w:val="000000"/>
          <w:sz w:val="28"/>
          <w:szCs w:val="28"/>
          <w:lang w:val="vi-VN"/>
        </w:rPr>
        <w:t>Gói dịch vụ y tế cơ bản do quỹ bảo hiểm y tế chi trả</w:t>
      </w:r>
      <w:r w:rsidRPr="00584FED">
        <w:rPr>
          <w:rFonts w:ascii="Times New Roman" w:eastAsia="Times New Roman" w:hAnsi="Times New Roman" w:cs="Times New Roman"/>
          <w:color w:val="000000"/>
          <w:sz w:val="28"/>
          <w:szCs w:val="28"/>
          <w:lang w:val="vi-VN"/>
        </w:rPr>
        <w:t> là những dịch vụ y tế thiết yếu để chăm sóc sức khỏe, phù hợp với khả năng chi trả của quỹ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Sửa đổi, bổ sung </w:t>
      </w:r>
      <w:bookmarkStart w:id="6" w:name="dc_2"/>
      <w:r w:rsidRPr="00584FED">
        <w:rPr>
          <w:rFonts w:ascii="Times New Roman" w:eastAsia="Times New Roman" w:hAnsi="Times New Roman" w:cs="Times New Roman"/>
          <w:color w:val="000000"/>
          <w:sz w:val="28"/>
          <w:szCs w:val="28"/>
          <w:lang w:val="vi-VN"/>
        </w:rPr>
        <w:t>khoản 2 và khoản 3 Điều 3</w:t>
      </w:r>
      <w:bookmarkEnd w:id="6"/>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Mức hưởng bảo hiểm y tế theo mức độ bệnh tật, nhóm đối tượng trong phạm vi quyền lợi và thời gian tham gia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Sửa đổi, bổ sung </w:t>
      </w:r>
      <w:bookmarkStart w:id="7" w:name="dc_4"/>
      <w:r w:rsidRPr="00584FED">
        <w:rPr>
          <w:rFonts w:ascii="Times New Roman" w:eastAsia="Times New Roman" w:hAnsi="Times New Roman" w:cs="Times New Roman"/>
          <w:color w:val="000000"/>
          <w:sz w:val="28"/>
          <w:szCs w:val="28"/>
          <w:lang w:val="vi-VN"/>
        </w:rPr>
        <w:t>khoản 3</w:t>
      </w:r>
      <w:bookmarkEnd w:id="7"/>
      <w:r w:rsidRPr="00584FED">
        <w:rPr>
          <w:rFonts w:ascii="Times New Roman" w:eastAsia="Times New Roman" w:hAnsi="Times New Roman" w:cs="Times New Roman"/>
          <w:color w:val="000000"/>
          <w:sz w:val="28"/>
          <w:szCs w:val="28"/>
          <w:lang w:val="vi-VN"/>
        </w:rPr>
        <w:t>; bổ sung khoản 10 </w:t>
      </w:r>
      <w:bookmarkStart w:id="8" w:name="dc_101"/>
      <w:r w:rsidRPr="00584FED">
        <w:rPr>
          <w:rFonts w:ascii="Times New Roman" w:eastAsia="Times New Roman" w:hAnsi="Times New Roman" w:cs="Times New Roman"/>
          <w:color w:val="000000"/>
          <w:sz w:val="28"/>
          <w:szCs w:val="28"/>
          <w:lang w:val="vi-VN"/>
        </w:rPr>
        <w:t>Điều 6</w:t>
      </w:r>
      <w:bookmarkEnd w:id="8"/>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9" w:name="cumtu_3_2"/>
      <w:r w:rsidRPr="00584FED">
        <w:rPr>
          <w:rFonts w:ascii="Times New Roman" w:eastAsia="Times New Roman" w:hAnsi="Times New Roman" w:cs="Times New Roman"/>
          <w:color w:val="000000"/>
          <w:sz w:val="28"/>
          <w:szCs w:val="28"/>
          <w:shd w:val="clear" w:color="auto" w:fill="FFFF96"/>
          <w:lang w:val="vi-VN"/>
        </w:rPr>
        <w:lastRenderedPageBreak/>
        <w:t>“3. Ban hành quy định chuyên môn kỹ thuật, quy trình khám bệnh, chữa bệnh và hướng dẫn điều trị; chuyển tuyến liên quan đến khám bệnh, chữa bệnh bảo hiểm y tế;”</w:t>
      </w:r>
      <w:bookmarkEnd w:id="9"/>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“10. Ban hành gói dịch vụ y tế cơ bản do quỹ bảo hiểm y tế chi trả.”</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4. Bổ sung các điều 7a, 7b và 7c vào sau </w:t>
      </w:r>
      <w:bookmarkStart w:id="10" w:name="dc_3"/>
      <w:r w:rsidRPr="00584FED">
        <w:rPr>
          <w:rFonts w:ascii="Times New Roman" w:eastAsia="Times New Roman" w:hAnsi="Times New Roman" w:cs="Times New Roman"/>
          <w:color w:val="000000"/>
          <w:sz w:val="28"/>
          <w:szCs w:val="28"/>
          <w:lang w:val="vi-VN"/>
        </w:rPr>
        <w:t>Điều 7</w:t>
      </w:r>
      <w:bookmarkEnd w:id="10"/>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“Điều 7a. Trách nhiệm của Bộ Lao động - Thương binh và Xã hội</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11" w:name="khoan_1_7"/>
      <w:r w:rsidRPr="00584FED">
        <w:rPr>
          <w:rFonts w:ascii="Times New Roman" w:eastAsia="Times New Roman" w:hAnsi="Times New Roman" w:cs="Times New Roman"/>
          <w:color w:val="000000"/>
          <w:sz w:val="28"/>
          <w:szCs w:val="28"/>
          <w:shd w:val="clear" w:color="auto" w:fill="FFFF96"/>
          <w:lang w:val="vi-VN"/>
        </w:rPr>
        <w:t>1. Chỉ đạo, hướng dẫn tổ chức thực hiện việc xác định, quản lý đối tượng do Bộ Lao động - Thương binh và Xã hội quản lý quy định tại các điểm d, e, g, h, i và k khoản 3 và khoản 4 Điều 12 của Luật này.</w:t>
      </w:r>
      <w:bookmarkEnd w:id="11"/>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Điều 7b. Trách nhiệm của Bộ Giáo dục và Đào tạo</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Chỉ đạo, hướng dẫn tổ chức thực hiện việc xác định, quản lý đối tượng do Bộ Giáo dục và Đào tạo quản lý quy định tại điểm n khoản 3 và điểm b khoản 4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12" w:name="khoan_1"/>
      <w:r w:rsidRPr="00584FED">
        <w:rPr>
          <w:rFonts w:ascii="Times New Roman" w:eastAsia="Times New Roman" w:hAnsi="Times New Roman" w:cs="Times New Roman"/>
          <w:color w:val="000000"/>
          <w:sz w:val="28"/>
          <w:szCs w:val="28"/>
          <w:shd w:val="clear" w:color="auto" w:fill="FFFF96"/>
          <w:lang w:val="vi-VN"/>
        </w:rPr>
        <w:t>3. Chủ trì, phối hợp với Bộ Y tế, các bộ, ngành liên quan hướng dẫn thành lập, kiện toàn hệ thống y tế trường học để chăm sóc sức khỏe ban đầu đối với trẻ em, học sinh, sinh viên.</w:t>
      </w:r>
      <w:bookmarkEnd w:id="12"/>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13" w:name="khoan_9"/>
      <w:r w:rsidRPr="00584FED">
        <w:rPr>
          <w:rFonts w:ascii="Times New Roman" w:eastAsia="Times New Roman" w:hAnsi="Times New Roman" w:cs="Times New Roman"/>
          <w:b/>
          <w:bCs/>
          <w:color w:val="000000"/>
          <w:sz w:val="28"/>
          <w:szCs w:val="28"/>
          <w:lang w:val="vi-VN"/>
        </w:rPr>
        <w:t>Điều 7c. Trách nhiệm của Bộ Quốc phòng và Bộ Công an</w:t>
      </w:r>
      <w:bookmarkEnd w:id="13"/>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Lập danh sách và cung cấp danh sách đề nghị cấp thẻ bảo hiểm y tế đối với đối tượng quy định tại điểm 1 khoản 3 Điều 12 của Luật này cho tổ chức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5. Sửa đổi, bổ sung </w:t>
      </w:r>
      <w:bookmarkStart w:id="14" w:name="dc_108"/>
      <w:r w:rsidRPr="00584FED">
        <w:rPr>
          <w:rFonts w:ascii="Times New Roman" w:eastAsia="Times New Roman" w:hAnsi="Times New Roman" w:cs="Times New Roman"/>
          <w:color w:val="000000"/>
          <w:sz w:val="28"/>
          <w:szCs w:val="28"/>
          <w:lang w:val="vi-VN"/>
        </w:rPr>
        <w:t>khoản 2</w:t>
      </w:r>
      <w:bookmarkEnd w:id="14"/>
      <w:r w:rsidRPr="00584FED">
        <w:rPr>
          <w:rFonts w:ascii="Times New Roman" w:eastAsia="Times New Roman" w:hAnsi="Times New Roman" w:cs="Times New Roman"/>
          <w:color w:val="000000"/>
          <w:sz w:val="28"/>
          <w:szCs w:val="28"/>
          <w:lang w:val="vi-VN"/>
        </w:rPr>
        <w:t>; bổ sung khoản 3 </w:t>
      </w:r>
      <w:bookmarkStart w:id="15" w:name="dc_109"/>
      <w:r w:rsidRPr="00584FED">
        <w:rPr>
          <w:rFonts w:ascii="Times New Roman" w:eastAsia="Times New Roman" w:hAnsi="Times New Roman" w:cs="Times New Roman"/>
          <w:color w:val="000000"/>
          <w:sz w:val="28"/>
          <w:szCs w:val="28"/>
          <w:lang w:val="vi-VN"/>
        </w:rPr>
        <w:t>Điều 8</w:t>
      </w:r>
      <w:bookmarkEnd w:id="15"/>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w:t>
      </w:r>
      <w:r w:rsidRPr="00584FED">
        <w:rPr>
          <w:rFonts w:ascii="Times New Roman" w:eastAsia="Times New Roman" w:hAnsi="Times New Roman" w:cs="Times New Roman"/>
          <w:color w:val="000000"/>
          <w:sz w:val="28"/>
          <w:szCs w:val="28"/>
          <w:shd w:val="clear" w:color="auto" w:fill="FFFFFF"/>
          <w:lang w:val="vi-VN"/>
        </w:rPr>
        <w:t>Ủy ban</w:t>
      </w:r>
      <w:r w:rsidRPr="00584FED">
        <w:rPr>
          <w:rFonts w:ascii="Times New Roman" w:eastAsia="Times New Roman" w:hAnsi="Times New Roman" w:cs="Times New Roman"/>
          <w:color w:val="000000"/>
          <w:sz w:val="28"/>
          <w:szCs w:val="28"/>
          <w:lang w:val="vi-VN"/>
        </w:rPr>
        <w:t>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16" w:name="khoan_2"/>
      <w:r w:rsidRPr="00584FED">
        <w:rPr>
          <w:rFonts w:ascii="Times New Roman" w:eastAsia="Times New Roman" w:hAnsi="Times New Roman" w:cs="Times New Roman"/>
          <w:color w:val="000000"/>
          <w:sz w:val="28"/>
          <w:szCs w:val="28"/>
          <w:shd w:val="clear" w:color="auto" w:fill="FFFFFF"/>
          <w:lang w:val="vi-VN"/>
        </w:rPr>
        <w:t>3.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1 và n khoản 3 và điểm b khoản 4 Điều 12 của Luật này; Ủy ban nhân dân cấp xã phải lập danh sách đề nghị cấp thẻ bảo hiểm y tế cho trẻ em đồng thời với việc cấp giấy khai sinh.”</w:t>
      </w:r>
      <w:bookmarkEnd w:id="16"/>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6. Sửa đổi, bổ sung </w:t>
      </w:r>
      <w:bookmarkStart w:id="17" w:name="dc_6"/>
      <w:r w:rsidRPr="00584FED">
        <w:rPr>
          <w:rFonts w:ascii="Times New Roman" w:eastAsia="Times New Roman" w:hAnsi="Times New Roman" w:cs="Times New Roman"/>
          <w:color w:val="000000"/>
          <w:sz w:val="28"/>
          <w:szCs w:val="28"/>
          <w:lang w:val="vi-VN"/>
        </w:rPr>
        <w:t>Điều 12</w:t>
      </w:r>
      <w:bookmarkEnd w:id="17"/>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w:t>
      </w:r>
      <w:bookmarkStart w:id="18" w:name="dieu_12_1"/>
      <w:r w:rsidRPr="00584FED">
        <w:rPr>
          <w:rFonts w:ascii="Times New Roman" w:eastAsia="Times New Roman" w:hAnsi="Times New Roman" w:cs="Times New Roman"/>
          <w:b/>
          <w:bCs/>
          <w:color w:val="000000"/>
          <w:sz w:val="28"/>
          <w:szCs w:val="28"/>
          <w:shd w:val="clear" w:color="auto" w:fill="FFFF96"/>
          <w:lang w:val="vi-VN"/>
        </w:rPr>
        <w:t>Điều 12. Đối tượng tham gia bảo hiểm y tế</w:t>
      </w:r>
      <w:bookmarkEnd w:id="18"/>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Nhóm do người lao động và người sử dụng lao động đóng, bao gồm: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Người hoạt động không chuyên trách ở xã, phường, thị trấn theo quy định của pháp luật.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Nhóm do tổ chức bảo hiểm xã hội đóng, bao gồm: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Người hưởng lương hưu, trợ cấp mất sức lao động hằng tháng;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Cán bộ xã, phường, thị trấn đã nghỉ việc đang hưởng trợ cấp bảo hiểm xã hội hằng tháng;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 Người đang hưởng trợ cấp thất nghiệp.</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19" w:name="khoan_3"/>
      <w:r w:rsidRPr="00584FED">
        <w:rPr>
          <w:rFonts w:ascii="Times New Roman" w:eastAsia="Times New Roman" w:hAnsi="Times New Roman" w:cs="Times New Roman"/>
          <w:color w:val="000000"/>
          <w:sz w:val="28"/>
          <w:szCs w:val="28"/>
          <w:lang w:val="vi-VN"/>
        </w:rPr>
        <w:t>3. Nhóm do ngân sách nhà nước đóng, bao gồm</w:t>
      </w:r>
      <w:bookmarkEnd w:id="19"/>
      <w:r w:rsidRPr="00584FED">
        <w:rPr>
          <w:rFonts w:ascii="Times New Roman" w:eastAsia="Times New Roman" w:hAnsi="Times New Roman" w:cs="Times New Roman"/>
          <w:color w:val="000000"/>
          <w:sz w:val="28"/>
          <w:szCs w:val="28"/>
          <w:lang w:val="vi-VN"/>
        </w:rPr>
        <w:t>:</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20" w:name="diem_a"/>
      <w:r w:rsidRPr="00584FED">
        <w:rPr>
          <w:rFonts w:ascii="Times New Roman" w:eastAsia="Times New Roman" w:hAnsi="Times New Roman" w:cs="Times New Roman"/>
          <w:color w:val="000000"/>
          <w:sz w:val="28"/>
          <w:szCs w:val="28"/>
          <w:shd w:val="clear" w:color="auto" w:fill="FFFF96"/>
          <w:lang w:val="vi-VN"/>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bookmarkEnd w:id="20"/>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Cán bộ xã, phường, thị trấn đã nghỉ việc đang hưởng trợ cấp hằng tháng từ ngân sách nhà nước;</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Người đã thôi hưởng trợ cấp mất sức lao động đang hưởng trợ cấp hằng tháng từ ngân sách nhà nước;</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 Người có công với cách mạng, cựu chiến binh;</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đ) Đại biểu Quốc hội, đại biểu Hội đồng nhân dân các cấp đương nhiệm;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e) Trẻ em dưới 6 tuổi;</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g) Người thuộc diện hưởng trợ cấp bảo trợ xã hội hằng tháng;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i) Thân nhân của người có công với cách mạng là cha đẻ, mẹ đẻ, vợ hoặc chồng, con của liệt sỹ; người có công nuôi dưỡng liệt sỹ;</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k) Thân nhân của người có công với cách mạng, trừ các đối tượng quy định tại điểm i khoản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l) Thân nhân của các đối tượng quy định tại điểm a khoản 3 Điều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m) Người đã hiến bộ phận cơ thể người theo quy định của pháp luật;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n) Người nước ngoài đang học tập tại Việt Nam được cấp học bổng từ ngân sách của Nhà nước Việt Nam.</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21" w:name="dieu_4_1"/>
      <w:r w:rsidRPr="00584FED">
        <w:rPr>
          <w:rFonts w:ascii="Times New Roman" w:eastAsia="Times New Roman" w:hAnsi="Times New Roman" w:cs="Times New Roman"/>
          <w:color w:val="000000"/>
          <w:sz w:val="28"/>
          <w:szCs w:val="28"/>
          <w:shd w:val="clear" w:color="auto" w:fill="FFFF96"/>
          <w:lang w:val="vi-VN"/>
        </w:rPr>
        <w:t>4. Nhóm được ngân sách nhà nước hỗ trợ mức đóng, bao gồm:</w:t>
      </w:r>
      <w:bookmarkEnd w:id="21"/>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22" w:name="diem_a_4_12"/>
      <w:r w:rsidRPr="00584FED">
        <w:rPr>
          <w:rFonts w:ascii="Times New Roman" w:eastAsia="Times New Roman" w:hAnsi="Times New Roman" w:cs="Times New Roman"/>
          <w:color w:val="000000"/>
          <w:sz w:val="28"/>
          <w:szCs w:val="28"/>
          <w:shd w:val="clear" w:color="auto" w:fill="FFFF96"/>
          <w:lang w:val="vi-VN"/>
        </w:rPr>
        <w:t>a) Người thuộc hộ gia đình cận nghèo;</w:t>
      </w:r>
      <w:bookmarkEnd w:id="22"/>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23" w:name="diem_b_4"/>
      <w:r w:rsidRPr="00584FED">
        <w:rPr>
          <w:rFonts w:ascii="Times New Roman" w:eastAsia="Times New Roman" w:hAnsi="Times New Roman" w:cs="Times New Roman"/>
          <w:color w:val="000000"/>
          <w:sz w:val="28"/>
          <w:szCs w:val="28"/>
          <w:shd w:val="clear" w:color="auto" w:fill="FFFF96"/>
        </w:rPr>
        <w:t xml:space="preserve">b) </w:t>
      </w:r>
      <w:proofErr w:type="spellStart"/>
      <w:r w:rsidRPr="00584FED">
        <w:rPr>
          <w:rFonts w:ascii="Times New Roman" w:eastAsia="Times New Roman" w:hAnsi="Times New Roman" w:cs="Times New Roman"/>
          <w:color w:val="000000"/>
          <w:sz w:val="28"/>
          <w:szCs w:val="28"/>
          <w:shd w:val="clear" w:color="auto" w:fill="FFFF96"/>
        </w:rPr>
        <w:t>Học</w:t>
      </w:r>
      <w:proofErr w:type="spellEnd"/>
      <w:r w:rsidRPr="00584FED">
        <w:rPr>
          <w:rFonts w:ascii="Times New Roman" w:eastAsia="Times New Roman" w:hAnsi="Times New Roman" w:cs="Times New Roman"/>
          <w:color w:val="000000"/>
          <w:sz w:val="28"/>
          <w:szCs w:val="28"/>
          <w:shd w:val="clear" w:color="auto" w:fill="FFFF96"/>
        </w:rPr>
        <w:t xml:space="preserve"> </w:t>
      </w:r>
      <w:proofErr w:type="spellStart"/>
      <w:r w:rsidRPr="00584FED">
        <w:rPr>
          <w:rFonts w:ascii="Times New Roman" w:eastAsia="Times New Roman" w:hAnsi="Times New Roman" w:cs="Times New Roman"/>
          <w:color w:val="000000"/>
          <w:sz w:val="28"/>
          <w:szCs w:val="28"/>
          <w:shd w:val="clear" w:color="auto" w:fill="FFFF96"/>
        </w:rPr>
        <w:t>sinh</w:t>
      </w:r>
      <w:proofErr w:type="spellEnd"/>
      <w:r w:rsidRPr="00584FED">
        <w:rPr>
          <w:rFonts w:ascii="Times New Roman" w:eastAsia="Times New Roman" w:hAnsi="Times New Roman" w:cs="Times New Roman"/>
          <w:color w:val="000000"/>
          <w:sz w:val="28"/>
          <w:szCs w:val="28"/>
          <w:shd w:val="clear" w:color="auto" w:fill="FFFF96"/>
        </w:rPr>
        <w:t xml:space="preserve">, </w:t>
      </w:r>
      <w:proofErr w:type="spellStart"/>
      <w:r w:rsidRPr="00584FED">
        <w:rPr>
          <w:rFonts w:ascii="Times New Roman" w:eastAsia="Times New Roman" w:hAnsi="Times New Roman" w:cs="Times New Roman"/>
          <w:color w:val="000000"/>
          <w:sz w:val="28"/>
          <w:szCs w:val="28"/>
          <w:shd w:val="clear" w:color="auto" w:fill="FFFF96"/>
        </w:rPr>
        <w:t>sinh</w:t>
      </w:r>
      <w:proofErr w:type="spellEnd"/>
      <w:r w:rsidRPr="00584FED">
        <w:rPr>
          <w:rFonts w:ascii="Times New Roman" w:eastAsia="Times New Roman" w:hAnsi="Times New Roman" w:cs="Times New Roman"/>
          <w:color w:val="000000"/>
          <w:sz w:val="28"/>
          <w:szCs w:val="28"/>
          <w:shd w:val="clear" w:color="auto" w:fill="FFFF96"/>
        </w:rPr>
        <w:t xml:space="preserve"> </w:t>
      </w:r>
      <w:proofErr w:type="spellStart"/>
      <w:r w:rsidRPr="00584FED">
        <w:rPr>
          <w:rFonts w:ascii="Times New Roman" w:eastAsia="Times New Roman" w:hAnsi="Times New Roman" w:cs="Times New Roman"/>
          <w:color w:val="000000"/>
          <w:sz w:val="28"/>
          <w:szCs w:val="28"/>
          <w:shd w:val="clear" w:color="auto" w:fill="FFFF96"/>
        </w:rPr>
        <w:t>viên</w:t>
      </w:r>
      <w:proofErr w:type="spellEnd"/>
      <w:r w:rsidRPr="00584FED">
        <w:rPr>
          <w:rFonts w:ascii="Times New Roman" w:eastAsia="Times New Roman" w:hAnsi="Times New Roman" w:cs="Times New Roman"/>
          <w:color w:val="000000"/>
          <w:sz w:val="28"/>
          <w:szCs w:val="28"/>
          <w:shd w:val="clear" w:color="auto" w:fill="FFFF96"/>
        </w:rPr>
        <w:t>.</w:t>
      </w:r>
      <w:bookmarkEnd w:id="23"/>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5. Nhóm tham gia bảo hiểm y tế theo hộ gia đình gồm những người thuộc hộ gia đình, trừ đối tượng quy định tại các khoản 1, 2, 3 và 4 Điều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1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w:t>
      </w:r>
      <w:r w:rsidRPr="00584FED">
        <w:rPr>
          <w:rFonts w:ascii="Times New Roman" w:eastAsia="Times New Roman" w:hAnsi="Times New Roman" w:cs="Times New Roman"/>
          <w:color w:val="000000"/>
          <w:sz w:val="28"/>
          <w:szCs w:val="28"/>
          <w:shd w:val="clear" w:color="auto" w:fill="FFFFFF"/>
          <w:lang w:val="vi-VN"/>
        </w:rPr>
        <w:t>với</w:t>
      </w:r>
      <w:r w:rsidRPr="00584FED">
        <w:rPr>
          <w:rFonts w:ascii="Times New Roman" w:eastAsia="Times New Roman" w:hAnsi="Times New Roman" w:cs="Times New Roman"/>
          <w:color w:val="000000"/>
          <w:sz w:val="28"/>
          <w:szCs w:val="28"/>
          <w:lang w:val="vi-VN"/>
        </w:rPr>
        <w:t> các đối tượng quy định tại điểm a khoản 3 Điều này.”</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7. Sửa đổi, bổ sung </w:t>
      </w:r>
      <w:bookmarkStart w:id="24" w:name="dc_7"/>
      <w:r w:rsidRPr="00584FED">
        <w:rPr>
          <w:rFonts w:ascii="Times New Roman" w:eastAsia="Times New Roman" w:hAnsi="Times New Roman" w:cs="Times New Roman"/>
          <w:color w:val="000000"/>
          <w:sz w:val="28"/>
          <w:szCs w:val="28"/>
          <w:lang w:val="vi-VN"/>
        </w:rPr>
        <w:t>Điều 13</w:t>
      </w:r>
      <w:bookmarkEnd w:id="24"/>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w:t>
      </w:r>
      <w:bookmarkStart w:id="25" w:name="dieu_13_1"/>
      <w:r w:rsidRPr="00584FED">
        <w:rPr>
          <w:rFonts w:ascii="Times New Roman" w:eastAsia="Times New Roman" w:hAnsi="Times New Roman" w:cs="Times New Roman"/>
          <w:b/>
          <w:bCs/>
          <w:color w:val="000000"/>
          <w:sz w:val="28"/>
          <w:szCs w:val="28"/>
          <w:shd w:val="clear" w:color="auto" w:fill="FFFF96"/>
          <w:lang w:val="vi-VN"/>
        </w:rPr>
        <w:t>Điều 13. Mức đóng và trách nhiệm đóng bảo hiểm y tế</w:t>
      </w:r>
      <w:bookmarkEnd w:id="25"/>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Mức đóng và trách nhiệm đóng bảo hiểm y tế được quy định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Mức đóng hằng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Mức đóng hằng tháng của đối tượng quy định tại điểm b khoản 1 Điều 12 của Luật này tối đa bằng 6% mức lương cơ sở, trong đó người sử dụng lao động đóng 2/3 và người lao động đóng 1/3;</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Mức đóng hằng tháng của đối tượng quy định tại điểm a khoản 2 Điều 12 của Luật này tối đa bằng 6% tiền lương hưu, trợ cấp mất sức lao động và do tổ chức bảo hiểm xã hội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d) Mức đóng hằng tháng của đối tượng quy định tại điểm b và điểm c khoản 2 Điều 12 của Luật này tối đa bằng 6% mức lương cơ sở và do tổ chức bảo hiểm xã hội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đ) Mức đóng hằng tháng của đối tượng quy định tại điểm d khoản 2 Điều 12 của Luật này tối đa bằng 6% tiền trợ cấp thất nghiệp và do tổ chức bảo hiểm xã hội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e) Mức đóng hằng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g) Mức đóng hằng tháng của đối tượng quy định tại các điểm b, c, d, đ, e, g, h, i, k, l và m khoản 3 Điều 12 của Luật này tối đa bằng 6% mức lương cơ sở và do ngân sách nhà nước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h) Mức đóng hằng tháng của đối tượng quy định tại điểm n khoản 3 Điều 12 của Luật này tối đa bằng 6% mức lương cơ sở và do cơ quan, tổ chức, đơn vị cấp học bổng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i) Mức đóng hằng tháng của đối tượng quy định tại khoản 4 Điều 12 của Luật này tối đa bằng 6% mức lương cơ sở do đối tượng tự đóng và được ngân sách nhà nước hỗ trợ một phần mức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k) Mức đóng hằng tháng của đối tượng quy định tại khoản 5 Điều 12 của Luật này tối đa bằng 6% mức lương cơ sở và do đối tượng đóng theo hộ gia đình.</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w:t>
      </w:r>
      <w:r w:rsidRPr="00584FED">
        <w:rPr>
          <w:rFonts w:ascii="Times New Roman" w:eastAsia="Times New Roman" w:hAnsi="Times New Roman" w:cs="Times New Roman"/>
          <w:color w:val="000000"/>
          <w:sz w:val="28"/>
          <w:szCs w:val="28"/>
          <w:shd w:val="clear" w:color="auto" w:fill="FFFFFF"/>
          <w:lang w:val="vi-VN"/>
        </w:rPr>
        <w:t>quy định</w:t>
      </w:r>
      <w:r w:rsidRPr="00584FED">
        <w:rPr>
          <w:rFonts w:ascii="Times New Roman" w:eastAsia="Times New Roman" w:hAnsi="Times New Roman" w:cs="Times New Roman"/>
          <w:color w:val="000000"/>
          <w:sz w:val="28"/>
          <w:szCs w:val="28"/>
          <w:lang w:val="vi-VN"/>
        </w:rPr>
        <w:t> tại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xml:space="preserve">Trường hợp đối tượng quy định tại điểm b khoản 1 Điều 12 của Luật này đồng thời thuộc nhiều đối tượng tham gia bảo hiểm y tế khác nhau quy định tại Điều 12 của </w:t>
      </w:r>
      <w:r w:rsidRPr="00584FED">
        <w:rPr>
          <w:rFonts w:ascii="Times New Roman" w:eastAsia="Times New Roman" w:hAnsi="Times New Roman" w:cs="Times New Roman"/>
          <w:color w:val="000000"/>
          <w:sz w:val="28"/>
          <w:szCs w:val="28"/>
          <w:lang w:val="vi-VN"/>
        </w:rPr>
        <w:lastRenderedPageBreak/>
        <w:t>Luật này thì đóng bảo hiểm y tế theo thứ tự như sau: do tổ chức bảo hiểm xã hội đóng, do ngân sách nhà nước đóng, do đối tượng và </w:t>
      </w:r>
      <w:r w:rsidRPr="00584FED">
        <w:rPr>
          <w:rFonts w:ascii="Times New Roman" w:eastAsia="Times New Roman" w:hAnsi="Times New Roman" w:cs="Times New Roman"/>
          <w:color w:val="000000"/>
          <w:sz w:val="28"/>
          <w:szCs w:val="28"/>
          <w:shd w:val="clear" w:color="auto" w:fill="FFFFFF"/>
          <w:lang w:val="vi-VN"/>
        </w:rPr>
        <w:t>Ủy ban</w:t>
      </w:r>
      <w:r w:rsidRPr="00584FED">
        <w:rPr>
          <w:rFonts w:ascii="Times New Roman" w:eastAsia="Times New Roman" w:hAnsi="Times New Roman" w:cs="Times New Roman"/>
          <w:color w:val="000000"/>
          <w:sz w:val="28"/>
          <w:szCs w:val="28"/>
          <w:lang w:val="vi-VN"/>
        </w:rPr>
        <w:t> nhân dân cấp xã đóng.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Tất cả thành viên thuộc hộ gia đình theo quy định tại khoản 5 Điều 12 của Luật này phải tham gia bảo hiểm y tế. Mức đóng được giảm dần từ thành viên thứ hai trở đi, cụ thể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Người thứ nhất đóng tối đa bằng 6% mức lương cơ sở;</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Người thứ hai, thứ ba, thứ tư đóng lần lượt bằng 70%, 60%, 50% mức đóng của người thứ nhất;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Từ người thứ năm trở đi đóng bằng 40% mức đóng của người thứ nhất.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4. Chính phủ quy định cụ thể mức đóng, mức hỗ trợ quy định tại Điều này”.</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8. Sửa đổi, bổ sung </w:t>
      </w:r>
      <w:bookmarkStart w:id="26" w:name="dc_8"/>
      <w:r w:rsidRPr="00584FED">
        <w:rPr>
          <w:rFonts w:ascii="Times New Roman" w:eastAsia="Times New Roman" w:hAnsi="Times New Roman" w:cs="Times New Roman"/>
          <w:color w:val="000000"/>
          <w:sz w:val="28"/>
          <w:szCs w:val="28"/>
          <w:lang w:val="vi-VN"/>
        </w:rPr>
        <w:t>khoản 4 và khoản 5 Điều 14</w:t>
      </w:r>
      <w:bookmarkEnd w:id="26"/>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“4. Đối với các đối tượng khác thì căn cứ để đóng bảo hiểm y tế là mức lương cơ sở.</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5. Mức tiền lương tháng tối đa để tính số tiền đóng bảo hiểm y tế là 20 lần mức lương cơ sở.”</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9. Sửa đổi, bổ sung </w:t>
      </w:r>
      <w:bookmarkStart w:id="27" w:name="dc_9"/>
      <w:r w:rsidRPr="00584FED">
        <w:rPr>
          <w:rFonts w:ascii="Times New Roman" w:eastAsia="Times New Roman" w:hAnsi="Times New Roman" w:cs="Times New Roman"/>
          <w:color w:val="000000"/>
          <w:sz w:val="28"/>
          <w:szCs w:val="28"/>
          <w:lang w:val="vi-VN"/>
        </w:rPr>
        <w:t>Điều 15</w:t>
      </w:r>
      <w:bookmarkEnd w:id="27"/>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w:t>
      </w:r>
      <w:bookmarkStart w:id="28" w:name="dieu_15_1"/>
      <w:r w:rsidRPr="00584FED">
        <w:rPr>
          <w:rFonts w:ascii="Times New Roman" w:eastAsia="Times New Roman" w:hAnsi="Times New Roman" w:cs="Times New Roman"/>
          <w:b/>
          <w:bCs/>
          <w:color w:val="000000"/>
          <w:sz w:val="28"/>
          <w:szCs w:val="28"/>
          <w:shd w:val="clear" w:color="auto" w:fill="FFFF96"/>
          <w:lang w:val="vi-VN"/>
        </w:rPr>
        <w:t>Điều 15. Phương thức đóng bảo hiểm y tế</w:t>
      </w:r>
      <w:bookmarkEnd w:id="28"/>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Hằng tháng, người sử dụng lao động đóng bảo hiểm y tế cho người lao động và trích tiền đóng bảo hiểm y tế từ tiền lương của người lao động để nộp cùng một lúc vào quỹ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Hằng tháng, tổ chức bảo hiểm xã hội đóng bảo hiểm y tế theo quy định tại các điểm c, d và đ khoản 1 Điều 13 của Luật này vào quỹ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4. Hằng quý, cơ quan, tổ chức, đơn vị cấp học bổng đóng bảo hiểm y tế theo quy định tại điểm h khoản 1 Điều 13 của Luật này vào quỹ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5. Hằng quý, ngân sách nhà nước chuyển số tiền đóng, hỗ trợ đóng bảo hiểm y tế theo quy định tại các điểm e, g và i khoản 1 Điều 13 của Luật này vào quỹ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6. Định kỳ 3 tháng, 6 tháng hoặc 12 tháng, đại diện hộ gia đình, tổ chức, cá nhân đóng đủ số tiền thuộc trách nhiệm phải đóng vào quỹ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10. Sửa đổi, bổ sung </w:t>
      </w:r>
      <w:bookmarkStart w:id="29" w:name="dc_10"/>
      <w:r w:rsidRPr="00584FED">
        <w:rPr>
          <w:rFonts w:ascii="Times New Roman" w:eastAsia="Times New Roman" w:hAnsi="Times New Roman" w:cs="Times New Roman"/>
          <w:color w:val="000000"/>
          <w:sz w:val="28"/>
          <w:szCs w:val="28"/>
          <w:lang w:val="vi-VN"/>
        </w:rPr>
        <w:t>khoản 3 và khoản 5 Điều 16</w:t>
      </w:r>
      <w:bookmarkEnd w:id="29"/>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Thời điểm thẻ bảo hiểm y tế có giá trị sử dụng được quy định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Đối tượng quy định tại các khoản 1, 2 và 3 Điều 12 của Luật này tham gia bảo hiểm y tế lần đầu, thẻ bảo hiểm y tế có giá trị sử dụng kể từ ngày đóng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Người tham gia bảo hiểm y tế liên tục kể từ lần thứ hai trở đi thì thẻ bảo hiểm y tế có giá trị sử dụng nối tiếp với ngày hết hạn sử dụng của thẻ lần trước;</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30" w:name="khoan_5_15"/>
      <w:r w:rsidRPr="00584FED">
        <w:rPr>
          <w:rFonts w:ascii="Times New Roman" w:eastAsia="Times New Roman" w:hAnsi="Times New Roman" w:cs="Times New Roman"/>
          <w:color w:val="000000"/>
          <w:sz w:val="28"/>
          <w:szCs w:val="28"/>
          <w:shd w:val="clear" w:color="auto" w:fill="FFFF96"/>
          <w:lang w:val="vi-VN"/>
        </w:rPr>
        <w:t>“5. Tổ chức bảo hiểm y tế ban hành mẫu thẻ bảo hiểm y tế sau khi có ý kiến thống nhất của Bộ Y tế.”</w:t>
      </w:r>
      <w:bookmarkEnd w:id="30"/>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11. Sửa đổi, bổ sung </w:t>
      </w:r>
      <w:bookmarkStart w:id="31" w:name="dc_11"/>
      <w:r w:rsidRPr="00584FED">
        <w:rPr>
          <w:rFonts w:ascii="Times New Roman" w:eastAsia="Times New Roman" w:hAnsi="Times New Roman" w:cs="Times New Roman"/>
          <w:color w:val="000000"/>
          <w:sz w:val="28"/>
          <w:szCs w:val="28"/>
          <w:lang w:val="vi-VN"/>
        </w:rPr>
        <w:t>Điều 17</w:t>
      </w:r>
      <w:bookmarkEnd w:id="31"/>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32" w:name="cumtu_17_11"/>
      <w:r w:rsidRPr="00584FED">
        <w:rPr>
          <w:rFonts w:ascii="Times New Roman" w:eastAsia="Times New Roman" w:hAnsi="Times New Roman" w:cs="Times New Roman"/>
          <w:b/>
          <w:bCs/>
          <w:color w:val="000000"/>
          <w:sz w:val="28"/>
          <w:szCs w:val="28"/>
          <w:shd w:val="clear" w:color="auto" w:fill="FFFF96"/>
          <w:lang w:val="vi-VN"/>
        </w:rPr>
        <w:t>“Điều 17. Cấp thẻ bảo hiểm y tế</w:t>
      </w:r>
      <w:bookmarkEnd w:id="32"/>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Hồ sơ cấp thẻ bảo hiểm y tế, bao gồm: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Tờ khai tham gia bảo hiểm y tế của tổ chức, cá nhân, hộ gia đình đối với người tham gia bảo hiểm y tế lần đầu;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Danh sách tham gia bảo hiểm y tế của đối tượng quy định tại khoản 1 Điều 12 của Luật này do người sử dụng lao động lập.</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Danh sách tham gia bảo hiểm y tế của các đối tượng theo quy định tại các khoản 2, 3, 4 và 5 Điều 12 của Luật này do </w:t>
      </w:r>
      <w:r w:rsidRPr="00584FED">
        <w:rPr>
          <w:rFonts w:ascii="Times New Roman" w:eastAsia="Times New Roman" w:hAnsi="Times New Roman" w:cs="Times New Roman"/>
          <w:color w:val="000000"/>
          <w:sz w:val="28"/>
          <w:szCs w:val="28"/>
          <w:shd w:val="clear" w:color="auto" w:fill="FFFFFF"/>
          <w:lang w:val="vi-VN"/>
        </w:rPr>
        <w:t>Ủy ban</w:t>
      </w:r>
      <w:r w:rsidRPr="00584FED">
        <w:rPr>
          <w:rFonts w:ascii="Times New Roman" w:eastAsia="Times New Roman" w:hAnsi="Times New Roman" w:cs="Times New Roman"/>
          <w:color w:val="000000"/>
          <w:sz w:val="28"/>
          <w:szCs w:val="28"/>
          <w:lang w:val="vi-VN"/>
        </w:rPr>
        <w:t xml:space="preserve"> nhân dân cấp xã lập theo hộ gia đình, trừ </w:t>
      </w:r>
      <w:r w:rsidRPr="00584FED">
        <w:rPr>
          <w:rFonts w:ascii="Times New Roman" w:eastAsia="Times New Roman" w:hAnsi="Times New Roman" w:cs="Times New Roman"/>
          <w:color w:val="000000"/>
          <w:sz w:val="28"/>
          <w:szCs w:val="28"/>
          <w:lang w:val="vi-VN"/>
        </w:rPr>
        <w:lastRenderedPageBreak/>
        <w:t>đối tượng quy định tại các điểm a, 1 và n khoản 3 và điểm b khoản 4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1 khoản 3 Điều 12 của Luật này do Bộ Quốc phòng và Bộ Công an lập.</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Tổ chức bảo hiểm y tế ban hành mẫu hồ sơ quy định tại khoản 1 Điều này sau khi có ý kiến thống nhất của Bộ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12. Sửa đổi, bổ sung </w:t>
      </w:r>
      <w:bookmarkStart w:id="33" w:name="dc_12"/>
      <w:r w:rsidRPr="00584FED">
        <w:rPr>
          <w:rFonts w:ascii="Times New Roman" w:eastAsia="Times New Roman" w:hAnsi="Times New Roman" w:cs="Times New Roman"/>
          <w:color w:val="000000"/>
          <w:sz w:val="28"/>
          <w:szCs w:val="28"/>
          <w:lang w:val="vi-VN"/>
        </w:rPr>
        <w:t>khoản 3 và khoản 4 Điều 18</w:t>
      </w:r>
      <w:bookmarkEnd w:id="33"/>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34" w:name="cumtu_1"/>
      <w:r w:rsidRPr="00584FED">
        <w:rPr>
          <w:rFonts w:ascii="Times New Roman" w:eastAsia="Times New Roman" w:hAnsi="Times New Roman" w:cs="Times New Roman"/>
          <w:color w:val="000000"/>
          <w:sz w:val="28"/>
          <w:szCs w:val="28"/>
          <w:shd w:val="clear" w:color="auto" w:fill="FFFF96"/>
          <w:lang w:val="vi-VN"/>
        </w:rPr>
        <w:t>4.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bookmarkEnd w:id="34"/>
      <w:r w:rsidRPr="00584FED">
        <w:rPr>
          <w:rFonts w:ascii="Times New Roman" w:eastAsia="Times New Roman" w:hAnsi="Times New Roman" w:cs="Times New Roman"/>
          <w:color w:val="000000"/>
          <w:sz w:val="28"/>
          <w:szCs w:val="28"/>
          <w:lang w:val="vi-VN"/>
        </w:rPr>
        <w:t>”</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13. Bổ sung điểm c </w:t>
      </w:r>
      <w:bookmarkStart w:id="35" w:name="dc_13"/>
      <w:r w:rsidRPr="00584FED">
        <w:rPr>
          <w:rFonts w:ascii="Times New Roman" w:eastAsia="Times New Roman" w:hAnsi="Times New Roman" w:cs="Times New Roman"/>
          <w:color w:val="000000"/>
          <w:sz w:val="28"/>
          <w:szCs w:val="28"/>
          <w:lang w:val="vi-VN"/>
        </w:rPr>
        <w:t>khoản 1 Điều 20</w:t>
      </w:r>
      <w:bookmarkEnd w:id="35"/>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Cấp trùng thẻ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14. Bãi bỏ </w:t>
      </w:r>
      <w:bookmarkStart w:id="36" w:name="dc_15"/>
      <w:r w:rsidRPr="00584FED">
        <w:rPr>
          <w:rFonts w:ascii="Times New Roman" w:eastAsia="Times New Roman" w:hAnsi="Times New Roman" w:cs="Times New Roman"/>
          <w:color w:val="000000"/>
          <w:sz w:val="28"/>
          <w:szCs w:val="28"/>
          <w:lang w:val="vi-VN"/>
        </w:rPr>
        <w:t>điểm b khoản 1 Điều 21</w:t>
      </w:r>
      <w:bookmarkEnd w:id="36"/>
      <w:r w:rsidRPr="00584FED">
        <w:rPr>
          <w:rFonts w:ascii="Times New Roman" w:eastAsia="Times New Roman" w:hAnsi="Times New Roman" w:cs="Times New Roman"/>
          <w:color w:val="000000"/>
          <w:sz w:val="28"/>
          <w:szCs w:val="28"/>
          <w:lang w:val="vi-VN"/>
        </w:rPr>
        <w:t>; sửa đổi, bổ sung </w:t>
      </w:r>
      <w:bookmarkStart w:id="37" w:name="dc_14"/>
      <w:r w:rsidRPr="00584FED">
        <w:rPr>
          <w:rFonts w:ascii="Times New Roman" w:eastAsia="Times New Roman" w:hAnsi="Times New Roman" w:cs="Times New Roman"/>
          <w:color w:val="000000"/>
          <w:sz w:val="28"/>
          <w:szCs w:val="28"/>
          <w:lang w:val="vi-VN"/>
        </w:rPr>
        <w:t>điểm c khoản 1 và khoản 2 Điều 21</w:t>
      </w:r>
      <w:bookmarkEnd w:id="37"/>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xml:space="preserve">“b) Vận chuyển người bệnh từ tuyến huyện lên tuyến trên đối với đối tượng quy </w:t>
      </w:r>
      <w:bookmarkStart w:id="38" w:name="_GoBack"/>
      <w:r w:rsidRPr="00584FED">
        <w:rPr>
          <w:rFonts w:ascii="Times New Roman" w:eastAsia="Times New Roman" w:hAnsi="Times New Roman" w:cs="Times New Roman"/>
          <w:color w:val="000000"/>
          <w:sz w:val="28"/>
          <w:szCs w:val="28"/>
          <w:lang w:val="vi-VN"/>
        </w:rPr>
        <w:t xml:space="preserve">định tại các điểm a, d, e, g, h và i khoản 3 Điều 12 của Luật này trong trường hợp </w:t>
      </w:r>
      <w:bookmarkEnd w:id="38"/>
      <w:r w:rsidRPr="00584FED">
        <w:rPr>
          <w:rFonts w:ascii="Times New Roman" w:eastAsia="Times New Roman" w:hAnsi="Times New Roman" w:cs="Times New Roman"/>
          <w:color w:val="000000"/>
          <w:sz w:val="28"/>
          <w:szCs w:val="28"/>
          <w:lang w:val="vi-VN"/>
        </w:rPr>
        <w:t>cấp cứu hoặc khi đang điều trị nội trú phải chuyển tuyến chuyên môn kỹ thuật.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2.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15. Sửa đổi, bổ sung </w:t>
      </w:r>
      <w:bookmarkStart w:id="39" w:name="dc_16"/>
      <w:r w:rsidRPr="00584FED">
        <w:rPr>
          <w:rFonts w:ascii="Times New Roman" w:eastAsia="Times New Roman" w:hAnsi="Times New Roman" w:cs="Times New Roman"/>
          <w:color w:val="000000"/>
          <w:sz w:val="28"/>
          <w:szCs w:val="28"/>
          <w:lang w:val="vi-VN"/>
        </w:rPr>
        <w:t>Điều 22</w:t>
      </w:r>
      <w:bookmarkEnd w:id="39"/>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w:t>
      </w:r>
      <w:bookmarkStart w:id="40" w:name="dieu_22_1"/>
      <w:r w:rsidRPr="00584FED">
        <w:rPr>
          <w:rFonts w:ascii="Times New Roman" w:eastAsia="Times New Roman" w:hAnsi="Times New Roman" w:cs="Times New Roman"/>
          <w:b/>
          <w:bCs/>
          <w:color w:val="000000"/>
          <w:sz w:val="28"/>
          <w:szCs w:val="28"/>
          <w:lang w:val="vi-VN"/>
        </w:rPr>
        <w:t>Điều 22. Mức hưởng bảo hiểm y tế</w:t>
      </w:r>
      <w:bookmarkEnd w:id="40"/>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41" w:name="khoan_1_22"/>
      <w:r w:rsidRPr="00584FED">
        <w:rPr>
          <w:rFonts w:ascii="Times New Roman" w:eastAsia="Times New Roman" w:hAnsi="Times New Roman" w:cs="Times New Roman"/>
          <w:color w:val="000000"/>
          <w:sz w:val="28"/>
          <w:szCs w:val="28"/>
          <w:shd w:val="clear" w:color="auto" w:fill="FFFF96"/>
          <w:lang w:val="vi-VN"/>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bookmarkEnd w:id="41"/>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100% chi phí khám bệnh, chữa bệnh đối với </w:t>
      </w:r>
      <w:r w:rsidRPr="00584FED">
        <w:rPr>
          <w:rFonts w:ascii="Times New Roman" w:eastAsia="Times New Roman" w:hAnsi="Times New Roman" w:cs="Times New Roman"/>
          <w:color w:val="000000"/>
          <w:sz w:val="28"/>
          <w:szCs w:val="28"/>
          <w:shd w:val="clear" w:color="auto" w:fill="FFFFFF"/>
          <w:lang w:val="vi-VN"/>
        </w:rPr>
        <w:t>trường hợp</w:t>
      </w:r>
      <w:r w:rsidRPr="00584FED">
        <w:rPr>
          <w:rFonts w:ascii="Times New Roman" w:eastAsia="Times New Roman" w:hAnsi="Times New Roman" w:cs="Times New Roman"/>
          <w:color w:val="000000"/>
          <w:sz w:val="28"/>
          <w:szCs w:val="28"/>
          <w:lang w:val="vi-VN"/>
        </w:rPr>
        <w:t> chi phí cho một lần khám bệnh, chữa bệnh thấp hơn mức do Chính phủ quy định và khám bệnh, chữa bệnh tại tuyến xã;</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 95% chi phí khám bệnh, chữa bệnh đối với đối tượng quy định tại điểm a khoản 2, điểm k khoản 3 và điểm a khoản 4 Điều 12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đ) 80% chi phí khám bệnh, chữa bệnh đối với các đối tượng khác.</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Trường hợp một người thuộc nhiều đối tượng tham gia bảo hiểm y tế thì được hưởng quyền lợi bảo hiểm y tế theo đối tượng có quyền lợi cao nhất.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Tại bệnh viện tuyến trung ương là 40% chi phí điều trị nội trú;</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b) Tại bệnh viện tuyến tỉnh là 60% chi phí điều trị nội trú từ ngày Luật này có hiệu lực đến ngày 31 tháng 12 năm 2020; 100% chi phí điều trị nội trú từ ngày 01 tháng 01 năm 2021 </w:t>
      </w:r>
      <w:r w:rsidRPr="00584FED">
        <w:rPr>
          <w:rFonts w:ascii="Times New Roman" w:eastAsia="Times New Roman" w:hAnsi="Times New Roman" w:cs="Times New Roman"/>
          <w:color w:val="000000"/>
          <w:sz w:val="28"/>
          <w:szCs w:val="28"/>
          <w:shd w:val="clear" w:color="auto" w:fill="FFFFFF"/>
          <w:lang w:val="vi-VN"/>
        </w:rPr>
        <w:t>trong</w:t>
      </w:r>
      <w:r w:rsidRPr="00584FED">
        <w:rPr>
          <w:rFonts w:ascii="Times New Roman" w:eastAsia="Times New Roman" w:hAnsi="Times New Roman" w:cs="Times New Roman"/>
          <w:color w:val="000000"/>
          <w:sz w:val="28"/>
          <w:szCs w:val="28"/>
          <w:lang w:val="vi-VN"/>
        </w:rPr>
        <w:t> phạm vi cả nước;</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Tại bệnh viện tuyến huyện là 70% chi phí khám bệnh, chữa bệnh từ ngày Luật này có hiệu lực đến ngày 31 tháng 12 năm 2015; 100% chi phí khám bệnh, chữa bệnh từ ngày 01 tháng 01 năm 2016.</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42" w:name="khoan_8"/>
      <w:r w:rsidRPr="00584FED">
        <w:rPr>
          <w:rFonts w:ascii="Times New Roman" w:eastAsia="Times New Roman" w:hAnsi="Times New Roman" w:cs="Times New Roman"/>
          <w:color w:val="000000"/>
          <w:sz w:val="28"/>
          <w:szCs w:val="28"/>
          <w:shd w:val="clear" w:color="auto" w:fill="FFFF96"/>
          <w:lang w:val="vi-VN"/>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bookmarkEnd w:id="42"/>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43" w:name="khoan_7_22"/>
      <w:r w:rsidRPr="00584FED">
        <w:rPr>
          <w:rFonts w:ascii="Times New Roman" w:eastAsia="Times New Roman" w:hAnsi="Times New Roman" w:cs="Times New Roman"/>
          <w:color w:val="000000"/>
          <w:sz w:val="28"/>
          <w:szCs w:val="28"/>
          <w:shd w:val="clear" w:color="auto" w:fill="FFFF96"/>
          <w:lang w:val="vi-VN"/>
        </w:rPr>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bookmarkEnd w:id="43"/>
      <w:r w:rsidRPr="00584FED">
        <w:rPr>
          <w:rFonts w:ascii="Times New Roman" w:eastAsia="Times New Roman" w:hAnsi="Times New Roman" w:cs="Times New Roman"/>
          <w:color w:val="000000"/>
          <w:sz w:val="28"/>
          <w:szCs w:val="28"/>
          <w:lang w:val="vi-VN"/>
        </w:rPr>
        <w:t>”</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16. Bãi bỏ </w:t>
      </w:r>
      <w:bookmarkStart w:id="44" w:name="dc_17"/>
      <w:r w:rsidRPr="00584FED">
        <w:rPr>
          <w:rFonts w:ascii="Times New Roman" w:eastAsia="Times New Roman" w:hAnsi="Times New Roman" w:cs="Times New Roman"/>
          <w:color w:val="000000"/>
          <w:sz w:val="28"/>
          <w:szCs w:val="28"/>
          <w:lang w:val="vi-VN"/>
        </w:rPr>
        <w:t>khoản 10 và khoản 12 Điều 23</w:t>
      </w:r>
      <w:bookmarkEnd w:id="44"/>
      <w:r w:rsidRPr="00584FED">
        <w:rPr>
          <w:rFonts w:ascii="Times New Roman" w:eastAsia="Times New Roman" w:hAnsi="Times New Roman" w:cs="Times New Roman"/>
          <w:color w:val="000000"/>
          <w:sz w:val="28"/>
          <w:szCs w:val="28"/>
          <w:lang w:val="vi-VN"/>
        </w:rPr>
        <w:t>; sửa đổi, bổ sung </w:t>
      </w:r>
      <w:bookmarkStart w:id="45" w:name="dc_30"/>
      <w:r w:rsidRPr="00584FED">
        <w:rPr>
          <w:rFonts w:ascii="Times New Roman" w:eastAsia="Times New Roman" w:hAnsi="Times New Roman" w:cs="Times New Roman"/>
          <w:color w:val="000000"/>
          <w:sz w:val="28"/>
          <w:szCs w:val="28"/>
          <w:lang w:val="vi-VN"/>
        </w:rPr>
        <w:t>khoản 7 và khoản 9 Điều 23</w:t>
      </w:r>
      <w:bookmarkEnd w:id="45"/>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“7. Điều trị lác, cận thị và tật khúc xạ của mắt, trừ trường hợp trẻ em dưới 6 tuổi.”</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“9. Khám bệnh, chữa bệnh, phục hồi chức năng trong trường hợp thảm họa.”</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17. Sửa đổi, bổ sung </w:t>
      </w:r>
      <w:bookmarkStart w:id="46" w:name="dc_18"/>
      <w:r w:rsidRPr="00584FED">
        <w:rPr>
          <w:rFonts w:ascii="Times New Roman" w:eastAsia="Times New Roman" w:hAnsi="Times New Roman" w:cs="Times New Roman"/>
          <w:color w:val="000000"/>
          <w:sz w:val="28"/>
          <w:szCs w:val="28"/>
          <w:lang w:val="vi-VN"/>
        </w:rPr>
        <w:t>Điều 24</w:t>
      </w:r>
      <w:bookmarkEnd w:id="46"/>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47" w:name="cumtu_24_17"/>
      <w:r w:rsidRPr="00584FED">
        <w:rPr>
          <w:rFonts w:ascii="Times New Roman" w:eastAsia="Times New Roman" w:hAnsi="Times New Roman" w:cs="Times New Roman"/>
          <w:b/>
          <w:bCs/>
          <w:color w:val="000000"/>
          <w:sz w:val="28"/>
          <w:szCs w:val="28"/>
          <w:shd w:val="clear" w:color="auto" w:fill="FFFF96"/>
          <w:lang w:val="vi-VN"/>
        </w:rPr>
        <w:t>“Điều 24. Cơ sở khám bệnh, chữa bệnh bảo hiểm y tế</w:t>
      </w:r>
      <w:bookmarkEnd w:id="47"/>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Cơ sở khám bệnh, chữa bệnh bảo hiểm y tế là cơ sở y tế theo quy định của Luật khám bệnh, chữa bệnh có ký kết </w:t>
      </w:r>
      <w:r w:rsidRPr="00584FED">
        <w:rPr>
          <w:rFonts w:ascii="Times New Roman" w:eastAsia="Times New Roman" w:hAnsi="Times New Roman" w:cs="Times New Roman"/>
          <w:color w:val="000000"/>
          <w:sz w:val="28"/>
          <w:szCs w:val="28"/>
          <w:shd w:val="clear" w:color="auto" w:fill="FFFFFF"/>
          <w:lang w:val="vi-VN"/>
        </w:rPr>
        <w:t>hợp đồng</w:t>
      </w:r>
      <w:r w:rsidRPr="00584FED">
        <w:rPr>
          <w:rFonts w:ascii="Times New Roman" w:eastAsia="Times New Roman" w:hAnsi="Times New Roman" w:cs="Times New Roman"/>
          <w:color w:val="000000"/>
          <w:sz w:val="28"/>
          <w:szCs w:val="28"/>
          <w:lang w:val="vi-VN"/>
        </w:rPr>
        <w:t> khám bệnh, chữa bệnh với tổ chức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18. Sửa đổi, bổ sung </w:t>
      </w:r>
      <w:bookmarkStart w:id="48" w:name="dc_19"/>
      <w:r w:rsidRPr="00584FED">
        <w:rPr>
          <w:rFonts w:ascii="Times New Roman" w:eastAsia="Times New Roman" w:hAnsi="Times New Roman" w:cs="Times New Roman"/>
          <w:color w:val="000000"/>
          <w:sz w:val="28"/>
          <w:szCs w:val="28"/>
          <w:lang w:val="vi-VN"/>
        </w:rPr>
        <w:t>điểm a khoản 2 và khoản 4 Điều 25</w:t>
      </w:r>
      <w:bookmarkEnd w:id="48"/>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Đối tượng phục vụ và yêu cầu về phạm vi cung ứng dịch vụ; dự kiến số lượng thẻ và cơ cấu nhóm đối tượng tham gia bảo hiểm y tế đối với cơ sở khám bệnh, chữa bệnh bảo hiểm y tế ban đầu.”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49" w:name="dieu_4_2"/>
      <w:r w:rsidRPr="00584FED">
        <w:rPr>
          <w:rFonts w:ascii="Times New Roman" w:eastAsia="Times New Roman" w:hAnsi="Times New Roman" w:cs="Times New Roman"/>
          <w:color w:val="000000"/>
          <w:sz w:val="28"/>
          <w:szCs w:val="28"/>
          <w:shd w:val="clear" w:color="auto" w:fill="FFFF96"/>
          <w:lang w:val="vi-VN"/>
        </w:rPr>
        <w:t>“4. Bộ Y tế chủ trì, phối hợp với Bộ Tài chính quy định mẫu hợp đồng khám bệnh, chữa bệnh bảo hiểm y tế.”</w:t>
      </w:r>
      <w:bookmarkEnd w:id="49"/>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rPr>
        <w:t xml:space="preserve">19. </w:t>
      </w:r>
      <w:proofErr w:type="spellStart"/>
      <w:r w:rsidRPr="00584FED">
        <w:rPr>
          <w:rFonts w:ascii="Times New Roman" w:eastAsia="Times New Roman" w:hAnsi="Times New Roman" w:cs="Times New Roman"/>
          <w:color w:val="000000"/>
          <w:sz w:val="28"/>
          <w:szCs w:val="28"/>
        </w:rPr>
        <w:t>Sửa</w:t>
      </w:r>
      <w:proofErr w:type="spellEnd"/>
      <w:r w:rsidRPr="00584FED">
        <w:rPr>
          <w:rFonts w:ascii="Times New Roman" w:eastAsia="Times New Roman" w:hAnsi="Times New Roman" w:cs="Times New Roman"/>
          <w:color w:val="000000"/>
          <w:sz w:val="28"/>
          <w:szCs w:val="28"/>
        </w:rPr>
        <w:t xml:space="preserve"> </w:t>
      </w:r>
      <w:proofErr w:type="spellStart"/>
      <w:r w:rsidRPr="00584FED">
        <w:rPr>
          <w:rFonts w:ascii="Times New Roman" w:eastAsia="Times New Roman" w:hAnsi="Times New Roman" w:cs="Times New Roman"/>
          <w:color w:val="000000"/>
          <w:sz w:val="28"/>
          <w:szCs w:val="28"/>
        </w:rPr>
        <w:t>đổi</w:t>
      </w:r>
      <w:proofErr w:type="spellEnd"/>
      <w:r w:rsidRPr="00584FED">
        <w:rPr>
          <w:rFonts w:ascii="Times New Roman" w:eastAsia="Times New Roman" w:hAnsi="Times New Roman" w:cs="Times New Roman"/>
          <w:color w:val="000000"/>
          <w:sz w:val="28"/>
          <w:szCs w:val="28"/>
        </w:rPr>
        <w:t xml:space="preserve">, </w:t>
      </w:r>
      <w:proofErr w:type="spellStart"/>
      <w:r w:rsidRPr="00584FED">
        <w:rPr>
          <w:rFonts w:ascii="Times New Roman" w:eastAsia="Times New Roman" w:hAnsi="Times New Roman" w:cs="Times New Roman"/>
          <w:color w:val="000000"/>
          <w:sz w:val="28"/>
          <w:szCs w:val="28"/>
        </w:rPr>
        <w:t>bổ</w:t>
      </w:r>
      <w:proofErr w:type="spellEnd"/>
      <w:r w:rsidRPr="00584FED">
        <w:rPr>
          <w:rFonts w:ascii="Times New Roman" w:eastAsia="Times New Roman" w:hAnsi="Times New Roman" w:cs="Times New Roman"/>
          <w:color w:val="000000"/>
          <w:sz w:val="28"/>
          <w:szCs w:val="28"/>
        </w:rPr>
        <w:t xml:space="preserve"> sung </w:t>
      </w:r>
      <w:bookmarkStart w:id="50" w:name="dc_20"/>
      <w:proofErr w:type="spellStart"/>
      <w:r w:rsidRPr="00584FED">
        <w:rPr>
          <w:rFonts w:ascii="Times New Roman" w:eastAsia="Times New Roman" w:hAnsi="Times New Roman" w:cs="Times New Roman"/>
          <w:color w:val="000000"/>
          <w:sz w:val="28"/>
          <w:szCs w:val="28"/>
        </w:rPr>
        <w:t>điểm</w:t>
      </w:r>
      <w:proofErr w:type="spellEnd"/>
      <w:r w:rsidRPr="00584FED">
        <w:rPr>
          <w:rFonts w:ascii="Times New Roman" w:eastAsia="Times New Roman" w:hAnsi="Times New Roman" w:cs="Times New Roman"/>
          <w:color w:val="000000"/>
          <w:sz w:val="28"/>
          <w:szCs w:val="28"/>
        </w:rPr>
        <w:t xml:space="preserve"> a </w:t>
      </w:r>
      <w:proofErr w:type="spellStart"/>
      <w:r w:rsidRPr="00584FED">
        <w:rPr>
          <w:rFonts w:ascii="Times New Roman" w:eastAsia="Times New Roman" w:hAnsi="Times New Roman" w:cs="Times New Roman"/>
          <w:color w:val="000000"/>
          <w:sz w:val="28"/>
          <w:szCs w:val="28"/>
        </w:rPr>
        <w:t>khoản</w:t>
      </w:r>
      <w:proofErr w:type="spellEnd"/>
      <w:r w:rsidRPr="00584FED">
        <w:rPr>
          <w:rFonts w:ascii="Times New Roman" w:eastAsia="Times New Roman" w:hAnsi="Times New Roman" w:cs="Times New Roman"/>
          <w:color w:val="000000"/>
          <w:sz w:val="28"/>
          <w:szCs w:val="28"/>
        </w:rPr>
        <w:t xml:space="preserve"> 1 </w:t>
      </w:r>
      <w:proofErr w:type="spellStart"/>
      <w:r w:rsidRPr="00584FED">
        <w:rPr>
          <w:rFonts w:ascii="Times New Roman" w:eastAsia="Times New Roman" w:hAnsi="Times New Roman" w:cs="Times New Roman"/>
          <w:color w:val="000000"/>
          <w:sz w:val="28"/>
          <w:szCs w:val="28"/>
        </w:rPr>
        <w:t>Điều</w:t>
      </w:r>
      <w:proofErr w:type="spellEnd"/>
      <w:r w:rsidRPr="00584FED">
        <w:rPr>
          <w:rFonts w:ascii="Times New Roman" w:eastAsia="Times New Roman" w:hAnsi="Times New Roman" w:cs="Times New Roman"/>
          <w:color w:val="000000"/>
          <w:sz w:val="28"/>
          <w:szCs w:val="28"/>
        </w:rPr>
        <w:t xml:space="preserve"> 30</w:t>
      </w:r>
      <w:bookmarkEnd w:id="50"/>
      <w:r w:rsidRPr="00584FED">
        <w:rPr>
          <w:rFonts w:ascii="Times New Roman" w:eastAsia="Times New Roman" w:hAnsi="Times New Roman" w:cs="Times New Roman"/>
          <w:color w:val="000000"/>
          <w:sz w:val="28"/>
          <w:szCs w:val="28"/>
        </w:rPr>
        <w:t> </w:t>
      </w:r>
      <w:proofErr w:type="spellStart"/>
      <w:r w:rsidRPr="00584FED">
        <w:rPr>
          <w:rFonts w:ascii="Times New Roman" w:eastAsia="Times New Roman" w:hAnsi="Times New Roman" w:cs="Times New Roman"/>
          <w:color w:val="000000"/>
          <w:sz w:val="28"/>
          <w:szCs w:val="28"/>
        </w:rPr>
        <w:t>như</w:t>
      </w:r>
      <w:proofErr w:type="spellEnd"/>
      <w:r w:rsidRPr="00584FED">
        <w:rPr>
          <w:rFonts w:ascii="Times New Roman" w:eastAsia="Times New Roman" w:hAnsi="Times New Roman" w:cs="Times New Roman"/>
          <w:color w:val="000000"/>
          <w:sz w:val="28"/>
          <w:szCs w:val="28"/>
        </w:rPr>
        <w:t xml:space="preserve"> </w:t>
      </w:r>
      <w:proofErr w:type="spellStart"/>
      <w:r w:rsidRPr="00584FED">
        <w:rPr>
          <w:rFonts w:ascii="Times New Roman" w:eastAsia="Times New Roman" w:hAnsi="Times New Roman" w:cs="Times New Roman"/>
          <w:color w:val="000000"/>
          <w:sz w:val="28"/>
          <w:szCs w:val="28"/>
        </w:rPr>
        <w:t>sau</w:t>
      </w:r>
      <w:proofErr w:type="spellEnd"/>
      <w:r w:rsidRPr="00584FED">
        <w:rPr>
          <w:rFonts w:ascii="Times New Roman" w:eastAsia="Times New Roman" w:hAnsi="Times New Roman" w:cs="Times New Roman"/>
          <w:color w:val="000000"/>
          <w:sz w:val="28"/>
          <w:szCs w:val="28"/>
        </w:rPr>
        <w:t>:</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w:t>
      </w:r>
      <w:bookmarkStart w:id="51" w:name="diem_a_1_30"/>
      <w:r w:rsidRPr="00584FED">
        <w:rPr>
          <w:rFonts w:ascii="Times New Roman" w:eastAsia="Times New Roman" w:hAnsi="Times New Roman" w:cs="Times New Roman"/>
          <w:color w:val="000000"/>
          <w:sz w:val="28"/>
          <w:szCs w:val="28"/>
          <w:shd w:val="clear" w:color="auto" w:fill="FFFF96"/>
          <w:lang w:val="vi-VN"/>
        </w:rPr>
        <w:t>a) Thanh toán theo định suất là thanh toán theo mức phí được xác định trước theo phạm vi dịch vụ cho một đầu thẻ đăng ký tại cơ sở cung ứng dịch vụ y tế trong một khoảng thời gian nhất định;</w:t>
      </w:r>
      <w:bookmarkEnd w:id="51"/>
      <w:r w:rsidRPr="00584FED">
        <w:rPr>
          <w:rFonts w:ascii="Times New Roman" w:eastAsia="Times New Roman" w:hAnsi="Times New Roman" w:cs="Times New Roman"/>
          <w:color w:val="000000"/>
          <w:sz w:val="28"/>
          <w:szCs w:val="28"/>
          <w:lang w:val="vi-VN"/>
        </w:rPr>
        <w:t>”</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20. Sửa đổi, bổ sung </w:t>
      </w:r>
      <w:bookmarkStart w:id="52" w:name="dc_106"/>
      <w:r w:rsidRPr="00584FED">
        <w:rPr>
          <w:rFonts w:ascii="Times New Roman" w:eastAsia="Times New Roman" w:hAnsi="Times New Roman" w:cs="Times New Roman"/>
          <w:color w:val="000000"/>
          <w:sz w:val="28"/>
          <w:szCs w:val="28"/>
          <w:lang w:val="vi-VN"/>
        </w:rPr>
        <w:t>khoản 2</w:t>
      </w:r>
      <w:bookmarkEnd w:id="52"/>
      <w:r w:rsidRPr="00584FED">
        <w:rPr>
          <w:rFonts w:ascii="Times New Roman" w:eastAsia="Times New Roman" w:hAnsi="Times New Roman" w:cs="Times New Roman"/>
          <w:color w:val="000000"/>
          <w:sz w:val="28"/>
          <w:szCs w:val="28"/>
          <w:lang w:val="vi-VN"/>
        </w:rPr>
        <w:t>; bổ sung khoản 5 </w:t>
      </w:r>
      <w:bookmarkStart w:id="53" w:name="dc_107"/>
      <w:r w:rsidRPr="00584FED">
        <w:rPr>
          <w:rFonts w:ascii="Times New Roman" w:eastAsia="Times New Roman" w:hAnsi="Times New Roman" w:cs="Times New Roman"/>
          <w:color w:val="000000"/>
          <w:sz w:val="28"/>
          <w:szCs w:val="28"/>
          <w:lang w:val="vi-VN"/>
        </w:rPr>
        <w:t>Điều 31</w:t>
      </w:r>
      <w:bookmarkEnd w:id="53"/>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54" w:name="khoan_2_31"/>
      <w:r w:rsidRPr="00584FED">
        <w:rPr>
          <w:rFonts w:ascii="Times New Roman" w:eastAsia="Times New Roman" w:hAnsi="Times New Roman" w:cs="Times New Roman"/>
          <w:color w:val="000000"/>
          <w:sz w:val="28"/>
          <w:szCs w:val="28"/>
          <w:shd w:val="clear" w:color="auto" w:fill="FFFF96"/>
          <w:lang w:val="vi-VN"/>
        </w:rPr>
        <w:t>“2. Tổ chức bảo hiểm y tế thanh toán chi phí khám bệnh, chữa bệnh bảo hiểm y tế trực tiếp cho người có thẻ bảo hiểm y tế đi khám bệnh, chữa bệnh trong các trường hợp sau đây:</w:t>
      </w:r>
      <w:bookmarkEnd w:id="54"/>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Tại cơ sở khám bệnh, chữa bệnh không có hợp đồng khám bệnh, chữa bệnh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Khám bệnh, chữa bệnh không đúng quy định tại Điều 28 của Luật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Trường hợp đặc biệt khác do Bộ trưởng Bộ Y tế quy định.”</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55" w:name="cumtu_24"/>
      <w:r w:rsidRPr="00584FED">
        <w:rPr>
          <w:rFonts w:ascii="Times New Roman" w:eastAsia="Times New Roman" w:hAnsi="Times New Roman" w:cs="Times New Roman"/>
          <w:color w:val="000000"/>
          <w:sz w:val="28"/>
          <w:szCs w:val="28"/>
          <w:shd w:val="clear" w:color="auto" w:fill="FFFF96"/>
          <w:lang w:val="vi-VN"/>
        </w:rPr>
        <w:t>“5. Bộ trưởng Bộ Y tế chủ trì, phối hợp với Bộ trưởng Bộ Tài chính quy định thống nhất giá dịch vụ khám bệnh, chữa bệnh bảo hiểm y tế giữa các bệnh viện cùng hạng trên toàn quốc.”</w:t>
      </w:r>
      <w:bookmarkEnd w:id="55"/>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21. Sửa đổi, bổ sung </w:t>
      </w:r>
      <w:bookmarkStart w:id="56" w:name="dc_22"/>
      <w:r w:rsidRPr="00584FED">
        <w:rPr>
          <w:rFonts w:ascii="Times New Roman" w:eastAsia="Times New Roman" w:hAnsi="Times New Roman" w:cs="Times New Roman"/>
          <w:color w:val="000000"/>
          <w:sz w:val="28"/>
          <w:szCs w:val="28"/>
          <w:lang w:val="vi-VN"/>
        </w:rPr>
        <w:t>Điều 32</w:t>
      </w:r>
      <w:bookmarkEnd w:id="56"/>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57" w:name="cumtu_32_21"/>
      <w:r w:rsidRPr="00584FED">
        <w:rPr>
          <w:rFonts w:ascii="Times New Roman" w:eastAsia="Times New Roman" w:hAnsi="Times New Roman" w:cs="Times New Roman"/>
          <w:b/>
          <w:bCs/>
          <w:color w:val="000000"/>
          <w:sz w:val="28"/>
          <w:szCs w:val="28"/>
          <w:shd w:val="clear" w:color="auto" w:fill="FFFF96"/>
          <w:lang w:val="vi-VN"/>
        </w:rPr>
        <w:t>“Điều 32. Tạm ứng, thanh toán, quyết toán chi phí khám bệnh, chữa bệnh bảo hiểm y tế</w:t>
      </w:r>
      <w:bookmarkEnd w:id="57"/>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Việc tạm ứng kinh phí của tổ chức bảo hiểm y tế cho cơ sở khám bệnh, chữa bệnh bảo hiểm y tế được thực hiện hằng quý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xml:space="preserve">a) Trong thời hạn 5 ngày làm việc, kể từ ngày nhận được báo cáo quyết toán quý trước của cơ sở khám bệnh, chữa bệnh, tổ chức bảo hiểm y tế tạm ứng một lần </w:t>
      </w:r>
      <w:r w:rsidRPr="00584FED">
        <w:rPr>
          <w:rFonts w:ascii="Times New Roman" w:eastAsia="Times New Roman" w:hAnsi="Times New Roman" w:cs="Times New Roman"/>
          <w:color w:val="000000"/>
          <w:sz w:val="28"/>
          <w:szCs w:val="28"/>
          <w:lang w:val="vi-VN"/>
        </w:rPr>
        <w:lastRenderedPageBreak/>
        <w:t>bằng 80% chi phí khám bệnh, chữa bệnh bảo hiểm y tế theo báo cáo quyết toán quý trước của cơ sở khám bệnh, chữa bệnh;</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w:t>
      </w:r>
      <w:r w:rsidRPr="00584FED">
        <w:rPr>
          <w:rFonts w:ascii="Times New Roman" w:eastAsia="Times New Roman" w:hAnsi="Times New Roman" w:cs="Times New Roman"/>
          <w:color w:val="000000"/>
          <w:sz w:val="28"/>
          <w:szCs w:val="28"/>
          <w:shd w:val="clear" w:color="auto" w:fill="FFFFFF"/>
          <w:lang w:val="vi-VN"/>
        </w:rPr>
        <w:t>hợp đồng</w:t>
      </w:r>
      <w:r w:rsidRPr="00584FED">
        <w:rPr>
          <w:rFonts w:ascii="Times New Roman" w:eastAsia="Times New Roman" w:hAnsi="Times New Roman" w:cs="Times New Roman"/>
          <w:color w:val="000000"/>
          <w:sz w:val="28"/>
          <w:szCs w:val="28"/>
          <w:lang w:val="vi-VN"/>
        </w:rPr>
        <w:t>, tổ chức bảo hiểm y tế dự kiến và tạm ứng 80% kinh phí khám bệnh, chữa bệnh bảo hiểm y tế trong quý;</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Việc thanh toán, quyết toán giữa cơ sở khám bệnh, chữa bệnh và tổ chức bảo hiểm y tế được thực hiện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c) Trong thời hạn 10 ngày, kể từ ngày thông báo số quyết toán chi phí khám bệnh, chữa bệnh bảo hiểm y tế, tổ chức bảo hiểm y tế phải hoàn thành việc thanh toán với cơ sở khám bệnh, chữa bệnh;</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58" w:name="dieu_3_1"/>
      <w:r w:rsidRPr="00584FED">
        <w:rPr>
          <w:rFonts w:ascii="Times New Roman" w:eastAsia="Times New Roman" w:hAnsi="Times New Roman" w:cs="Times New Roman"/>
          <w:color w:val="000000"/>
          <w:sz w:val="28"/>
          <w:szCs w:val="28"/>
          <w:shd w:val="clear" w:color="auto" w:fill="FFFF96"/>
          <w:lang w:val="vi-VN"/>
        </w:rPr>
        <w:lastRenderedPageBreak/>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bookmarkEnd w:id="58"/>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22. Sửa đổi, bổ sung </w:t>
      </w:r>
      <w:bookmarkStart w:id="59" w:name="dc_104"/>
      <w:r w:rsidRPr="00584FED">
        <w:rPr>
          <w:rFonts w:ascii="Times New Roman" w:eastAsia="Times New Roman" w:hAnsi="Times New Roman" w:cs="Times New Roman"/>
          <w:color w:val="000000"/>
          <w:sz w:val="28"/>
          <w:szCs w:val="28"/>
          <w:lang w:val="vi-VN"/>
        </w:rPr>
        <w:t>khoản 1</w:t>
      </w:r>
      <w:bookmarkEnd w:id="59"/>
      <w:r w:rsidRPr="00584FED">
        <w:rPr>
          <w:rFonts w:ascii="Times New Roman" w:eastAsia="Times New Roman" w:hAnsi="Times New Roman" w:cs="Times New Roman"/>
          <w:color w:val="000000"/>
          <w:sz w:val="28"/>
          <w:szCs w:val="28"/>
          <w:lang w:val="vi-VN"/>
        </w:rPr>
        <w:t>; bổ sung khoản 3 </w:t>
      </w:r>
      <w:bookmarkStart w:id="60" w:name="dc_105"/>
      <w:r w:rsidRPr="00584FED">
        <w:rPr>
          <w:rFonts w:ascii="Times New Roman" w:eastAsia="Times New Roman" w:hAnsi="Times New Roman" w:cs="Times New Roman"/>
          <w:color w:val="000000"/>
          <w:sz w:val="28"/>
          <w:szCs w:val="28"/>
          <w:lang w:val="vi-VN"/>
        </w:rPr>
        <w:t>Điều 34</w:t>
      </w:r>
      <w:bookmarkEnd w:id="60"/>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Quỹ bảo hiểm y tế được quản lý tập trung, thống nhất, công khai, minh bạch và có sự phân cấp quản lý trong hệ thống tổ chức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Hội đồng quản lý bảo hiểm xã hội Việt Nam theo quy định của Luật bảo hiểm xã hội chịu trách nhiệm quản lý quỹ bảo hiểm y tế và tư vấn chính sách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Hằng năm, Chính phủ báo cáo trước Quốc hội về quản lý và sử dụng quỹ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23. Sửa đổi, bổ sung </w:t>
      </w:r>
      <w:bookmarkStart w:id="61" w:name="dc_24"/>
      <w:r w:rsidRPr="00584FED">
        <w:rPr>
          <w:rFonts w:ascii="Times New Roman" w:eastAsia="Times New Roman" w:hAnsi="Times New Roman" w:cs="Times New Roman"/>
          <w:color w:val="000000"/>
          <w:sz w:val="28"/>
          <w:szCs w:val="28"/>
          <w:lang w:val="vi-VN"/>
        </w:rPr>
        <w:t>Điều 35</w:t>
      </w:r>
      <w:bookmarkEnd w:id="61"/>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w:t>
      </w:r>
      <w:bookmarkStart w:id="62" w:name="dieu_35"/>
      <w:r w:rsidRPr="00584FED">
        <w:rPr>
          <w:rFonts w:ascii="Times New Roman" w:eastAsia="Times New Roman" w:hAnsi="Times New Roman" w:cs="Times New Roman"/>
          <w:b/>
          <w:bCs/>
          <w:color w:val="000000"/>
          <w:sz w:val="28"/>
          <w:szCs w:val="28"/>
          <w:shd w:val="clear" w:color="auto" w:fill="FFFF96"/>
          <w:lang w:val="vi-VN"/>
        </w:rPr>
        <w:t>Điều 35. Phân bổ và sử dụng quỹ bảo hiểm y tế</w:t>
      </w:r>
      <w:bookmarkEnd w:id="62"/>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Quỹ bảo hiểm y tế được phân bổ và sử dụng như sau: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63" w:name="khoan_1_a"/>
      <w:r w:rsidRPr="00584FED">
        <w:rPr>
          <w:rFonts w:ascii="Times New Roman" w:eastAsia="Times New Roman" w:hAnsi="Times New Roman" w:cs="Times New Roman"/>
          <w:color w:val="000000"/>
          <w:sz w:val="28"/>
          <w:szCs w:val="28"/>
          <w:shd w:val="clear" w:color="auto" w:fill="FFFF96"/>
          <w:lang w:val="vi-VN"/>
        </w:rPr>
        <w:t>a) 90% số tiền đóng bảo hiểm y tế dành cho khám bệnh, chữa bệnh;</w:t>
      </w:r>
      <w:bookmarkEnd w:id="63"/>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64" w:name="diem_b_1_35"/>
      <w:r w:rsidRPr="00584FED">
        <w:rPr>
          <w:rFonts w:ascii="Times New Roman" w:eastAsia="Times New Roman" w:hAnsi="Times New Roman" w:cs="Times New Roman"/>
          <w:color w:val="000000"/>
          <w:sz w:val="28"/>
          <w:szCs w:val="28"/>
          <w:shd w:val="clear" w:color="auto" w:fill="FFFF96"/>
          <w:lang w:val="vi-VN"/>
        </w:rPr>
        <w:t>b) 10% số tiền đóng bảo hiểm y tế dành cho quỹ dự phòng, chi phí quản lý quỹ bảo hiểm y tế, trong đó dành tối thiểu 5% số tiền đóng bảo hiểm y tế cho quỹ dự phòng.</w:t>
      </w:r>
      <w:bookmarkEnd w:id="64"/>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65" w:name="khoan_2_35"/>
      <w:r w:rsidRPr="00584FED">
        <w:rPr>
          <w:rFonts w:ascii="Times New Roman" w:eastAsia="Times New Roman" w:hAnsi="Times New Roman" w:cs="Times New Roman"/>
          <w:color w:val="000000"/>
          <w:sz w:val="28"/>
          <w:szCs w:val="28"/>
          <w:shd w:val="clear" w:color="auto" w:fill="FFFF96"/>
          <w:lang w:val="vi-VN"/>
        </w:rPr>
        <w:t>2. Số tiền tạm thời nhàn rỗi của quỹ bảo hiểm y tế được sử dụng để đầu tư theo các hình thức quy định của Luật bảo hiểm xã hội. Hội đồng quản lý bảo hiểm xã hội Việt Nam quyết định và chịu trách nhiệm trước Chính phủ về hình thức và cơ cấu đầu tư của quỹ bảo hiểm y tế trên cơ sở đề nghị của Bảo hiểm xã hội Việt Nam.</w:t>
      </w:r>
      <w:bookmarkEnd w:id="65"/>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a) Từ ngày Luật này có hiệu lực đến hết ngày 31 tháng 12 năm 2020 thì 80% chuyển về quỹ dự phòng, 20% chuyển về địa phương để sử dụng theo thứ tự ưu tiên sau đây: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xml:space="preserve">Hỗ trợ quỹ khám bệnh, chữa bệnh cho người nghèo; hỗ trợ mức đóng bảo hiểm y tế cho một số nhóm đối tượng phù hợp với điều kiện kinh tế - xã hội của địa </w:t>
      </w:r>
      <w:r w:rsidRPr="00584FED">
        <w:rPr>
          <w:rFonts w:ascii="Times New Roman" w:eastAsia="Times New Roman" w:hAnsi="Times New Roman" w:cs="Times New Roman"/>
          <w:color w:val="000000"/>
          <w:sz w:val="28"/>
          <w:szCs w:val="28"/>
          <w:lang w:val="vi-VN"/>
        </w:rPr>
        <w:lastRenderedPageBreak/>
        <w:t>phương; mua trang thiết bị y tế phù hợp với năng lực, trình độ của cán bộ y tế; mua phương tiện vận chuyển người bệnh ở tuyến huyện.</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Trong thời hạn 1 tháng, kể từ ngày Bảo hiểm xã hội Việt Nam thẩm định quyết toán, Bảo hiểm xã hội Việt Nam phải chuyển 20% phần kinh phí chưa sử dụng hết về cho địa phương.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Trong thời hạn 12 tháng, kể từ ngày Bảo hiểm xã hội Việt Nam thẩm định quyết toán, phần kinh phí chưa sử dụng hết được chuyển về quỹ dự phòng;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Từ ngày 01 tháng 01 năm 2021, phần kinh phí chưa sử dụng hết được hạch toán toàn bộ vào quỹ dự phòng để điều tiết chung.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5. Chính phủ quy định chi tiết khoản 1 Điều này.”</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24. Sửa đổi, bổ sung </w:t>
      </w:r>
      <w:bookmarkStart w:id="66" w:name="dc_25"/>
      <w:r w:rsidRPr="00584FED">
        <w:rPr>
          <w:rFonts w:ascii="Times New Roman" w:eastAsia="Times New Roman" w:hAnsi="Times New Roman" w:cs="Times New Roman"/>
          <w:color w:val="000000"/>
          <w:sz w:val="28"/>
          <w:szCs w:val="28"/>
          <w:lang w:val="vi-VN"/>
        </w:rPr>
        <w:t>khoản 2 Điều 36</w:t>
      </w:r>
      <w:bookmarkEnd w:id="66"/>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25. Sửa đổi, bổ sung </w:t>
      </w:r>
      <w:bookmarkStart w:id="67" w:name="dc_26"/>
      <w:r w:rsidRPr="00584FED">
        <w:rPr>
          <w:rFonts w:ascii="Times New Roman" w:eastAsia="Times New Roman" w:hAnsi="Times New Roman" w:cs="Times New Roman"/>
          <w:color w:val="000000"/>
          <w:sz w:val="28"/>
          <w:szCs w:val="28"/>
          <w:lang w:val="vi-VN"/>
        </w:rPr>
        <w:t>khoản 2 và khoản 10 Điều 41</w:t>
      </w:r>
      <w:bookmarkEnd w:id="67"/>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w:t>
      </w:r>
      <w:r w:rsidRPr="00584FED">
        <w:rPr>
          <w:rFonts w:ascii="Times New Roman" w:eastAsia="Times New Roman" w:hAnsi="Times New Roman" w:cs="Times New Roman"/>
          <w:color w:val="000000"/>
          <w:sz w:val="28"/>
          <w:szCs w:val="28"/>
          <w:shd w:val="clear" w:color="auto" w:fill="FFFFFF"/>
          <w:lang w:val="vi-VN"/>
        </w:rPr>
        <w:t>tổng hợp</w:t>
      </w:r>
      <w:r w:rsidRPr="00584FED">
        <w:rPr>
          <w:rFonts w:ascii="Times New Roman" w:eastAsia="Times New Roman" w:hAnsi="Times New Roman" w:cs="Times New Roman"/>
          <w:color w:val="000000"/>
          <w:sz w:val="28"/>
          <w:szCs w:val="28"/>
          <w:lang w:val="vi-VN"/>
        </w:rPr>
        <w:t>, xác nhận danh sách tham gia bảo hiểm y tế để tránh cấp trùng thẻ bảo hiểm y tế của các đối tượng quy định tại Điều 12 của Luật này, trừ các đối tượng do Bộ Quốc phòng và Bộ Công an quản lý.”</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68" w:name="dieu_10_1"/>
      <w:r w:rsidRPr="00584FED">
        <w:rPr>
          <w:rFonts w:ascii="Times New Roman" w:eastAsia="Times New Roman" w:hAnsi="Times New Roman" w:cs="Times New Roman"/>
          <w:color w:val="000000"/>
          <w:sz w:val="28"/>
          <w:szCs w:val="28"/>
          <w:shd w:val="clear" w:color="auto" w:fill="FFFF96"/>
          <w:lang w:val="vi-VN"/>
        </w:rPr>
        <w:t>“10. Lưu trữ hồ sơ, số liệu về bảo hiểm y tế theo quy định của pháp luật; xác định thời gian tham gia bảo hiểm y tế để đảm bảo quyền lợi cho người tham gia bảo hiểm y tế; ứng dụng công nghệ thông tin trong quản lý bảo hiểm y tế, xây dựng cơ sở dữ liệu quốc gia về bảo hiểm y tế.”</w:t>
      </w:r>
      <w:bookmarkEnd w:id="68"/>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26. Sửa đổi, bổ sung </w:t>
      </w:r>
      <w:bookmarkStart w:id="69" w:name="dc_102"/>
      <w:r w:rsidRPr="00584FED">
        <w:rPr>
          <w:rFonts w:ascii="Times New Roman" w:eastAsia="Times New Roman" w:hAnsi="Times New Roman" w:cs="Times New Roman"/>
          <w:color w:val="000000"/>
          <w:sz w:val="28"/>
          <w:szCs w:val="28"/>
          <w:lang w:val="vi-VN"/>
        </w:rPr>
        <w:t>khoản 2</w:t>
      </w:r>
      <w:bookmarkEnd w:id="69"/>
      <w:r w:rsidRPr="00584FED">
        <w:rPr>
          <w:rFonts w:ascii="Times New Roman" w:eastAsia="Times New Roman" w:hAnsi="Times New Roman" w:cs="Times New Roman"/>
          <w:color w:val="000000"/>
          <w:sz w:val="28"/>
          <w:szCs w:val="28"/>
          <w:lang w:val="vi-VN"/>
        </w:rPr>
        <w:t>; bổ sung khoản 7 và khoản 8 </w:t>
      </w:r>
      <w:bookmarkStart w:id="70" w:name="dc_103"/>
      <w:r w:rsidRPr="00584FED">
        <w:rPr>
          <w:rFonts w:ascii="Times New Roman" w:eastAsia="Times New Roman" w:hAnsi="Times New Roman" w:cs="Times New Roman"/>
          <w:color w:val="000000"/>
          <w:sz w:val="28"/>
          <w:szCs w:val="28"/>
          <w:lang w:val="vi-VN"/>
        </w:rPr>
        <w:t>Điều 43</w:t>
      </w:r>
      <w:bookmarkEnd w:id="70"/>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lastRenderedPageBreak/>
        <w:t>“2.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w:t>
      </w:r>
      <w:r w:rsidRPr="00584FED">
        <w:rPr>
          <w:rFonts w:ascii="Times New Roman" w:eastAsia="Times New Roman" w:hAnsi="Times New Roman" w:cs="Times New Roman"/>
          <w:color w:val="000000"/>
          <w:sz w:val="28"/>
          <w:szCs w:val="28"/>
          <w:shd w:val="clear" w:color="auto" w:fill="FFFFFF"/>
          <w:lang w:val="vi-VN"/>
        </w:rPr>
        <w:t>trong</w:t>
      </w:r>
      <w:r w:rsidRPr="00584FED">
        <w:rPr>
          <w:rFonts w:ascii="Times New Roman" w:eastAsia="Times New Roman" w:hAnsi="Times New Roman" w:cs="Times New Roman"/>
          <w:color w:val="000000"/>
          <w:sz w:val="28"/>
          <w:szCs w:val="28"/>
          <w:lang w:val="vi-VN"/>
        </w:rPr>
        <w:t>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“7. Lập bảng kê chi phí khám bệnh, chữa bệnh bảo hiểm y tế và chịu trách nhiệm trước pháp luật về tính </w:t>
      </w:r>
      <w:r w:rsidRPr="00584FED">
        <w:rPr>
          <w:rFonts w:ascii="Times New Roman" w:eastAsia="Times New Roman" w:hAnsi="Times New Roman" w:cs="Times New Roman"/>
          <w:color w:val="000000"/>
          <w:sz w:val="28"/>
          <w:szCs w:val="28"/>
          <w:shd w:val="clear" w:color="auto" w:fill="FFFFFF"/>
          <w:lang w:val="vi-VN"/>
        </w:rPr>
        <w:t>hợp pháp</w:t>
      </w:r>
      <w:r w:rsidRPr="00584FED">
        <w:rPr>
          <w:rFonts w:ascii="Times New Roman" w:eastAsia="Times New Roman" w:hAnsi="Times New Roman" w:cs="Times New Roman"/>
          <w:color w:val="000000"/>
          <w:sz w:val="28"/>
          <w:szCs w:val="28"/>
          <w:lang w:val="vi-VN"/>
        </w:rPr>
        <w:t>, chính xác của bảng kê này.</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8. Cung cấp bảng kê chi phí khám bệnh, chữa bệnh cho người tham gia bảo hiểm y tế khi có yêu cầu.”</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27. Sửa đổi, bổ sung </w:t>
      </w:r>
      <w:bookmarkStart w:id="71" w:name="dc_28"/>
      <w:r w:rsidRPr="00584FED">
        <w:rPr>
          <w:rFonts w:ascii="Times New Roman" w:eastAsia="Times New Roman" w:hAnsi="Times New Roman" w:cs="Times New Roman"/>
          <w:color w:val="000000"/>
          <w:sz w:val="28"/>
          <w:szCs w:val="28"/>
          <w:lang w:val="vi-VN"/>
        </w:rPr>
        <w:t>khoản 3 Điều 45</w:t>
      </w:r>
      <w:bookmarkEnd w:id="71"/>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28. Sửa đổi, bổ sung </w:t>
      </w:r>
      <w:bookmarkStart w:id="72" w:name="dc_29"/>
      <w:r w:rsidRPr="00584FED">
        <w:rPr>
          <w:rFonts w:ascii="Times New Roman" w:eastAsia="Times New Roman" w:hAnsi="Times New Roman" w:cs="Times New Roman"/>
          <w:color w:val="000000"/>
          <w:sz w:val="28"/>
          <w:szCs w:val="28"/>
          <w:lang w:val="vi-VN"/>
        </w:rPr>
        <w:t>Điều 49</w:t>
      </w:r>
      <w:bookmarkEnd w:id="72"/>
      <w:r w:rsidRPr="00584FED">
        <w:rPr>
          <w:rFonts w:ascii="Times New Roman" w:eastAsia="Times New Roman" w:hAnsi="Times New Roman" w:cs="Times New Roman"/>
          <w:color w:val="000000"/>
          <w:sz w:val="28"/>
          <w:szCs w:val="28"/>
          <w:lang w:val="vi-VN"/>
        </w:rPr>
        <w:t>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“Điều 49. Xử lý vi phạm</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3. Cơ quan, tổ chức, người sử dụng lao động có trách nhiệm đóng bảo hiểm y tế mà không đóng hoặc đóng không đầy đủ theo quy định của pháp luật thì sẽ bị xử lý như sau:</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xml:space="preserve">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w:t>
      </w:r>
      <w:r w:rsidRPr="00584FED">
        <w:rPr>
          <w:rFonts w:ascii="Times New Roman" w:eastAsia="Times New Roman" w:hAnsi="Times New Roman" w:cs="Times New Roman"/>
          <w:color w:val="000000"/>
          <w:sz w:val="28"/>
          <w:szCs w:val="28"/>
          <w:lang w:val="vi-VN"/>
        </w:rPr>
        <w:lastRenderedPageBreak/>
        <w:t>lao động có trách nhiệm đóng bảo hiểm y tế để nộp số tiền chưa đóng, chậm đóng và lãi của số tiền này vào tài khoản của quỹ bảo hiểm y tế;</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b) Phải hoàn trả toàn bộ chi phí cho người lao động trong phạm vi quyền lợi, mức hưởng bảo hiểm y tế mà người lao động đã chi trả trong thời gian chưa có thẻ bảo hiểm y tế.”</w:t>
      </w:r>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73" w:name="dieu_2_1"/>
      <w:r w:rsidRPr="00584FED">
        <w:rPr>
          <w:rFonts w:ascii="Times New Roman" w:eastAsia="Times New Roman" w:hAnsi="Times New Roman" w:cs="Times New Roman"/>
          <w:b/>
          <w:bCs/>
          <w:color w:val="000000"/>
          <w:sz w:val="28"/>
          <w:szCs w:val="28"/>
          <w:lang w:val="vi-VN"/>
        </w:rPr>
        <w:t>Điều 2.</w:t>
      </w:r>
      <w:bookmarkEnd w:id="73"/>
    </w:p>
    <w:p w:rsidR="00584FED" w:rsidRPr="00584FED" w:rsidRDefault="00584FED" w:rsidP="00584FED">
      <w:pPr>
        <w:shd w:val="clear" w:color="auto" w:fill="FFFFFF"/>
        <w:spacing w:after="0" w:line="234" w:lineRule="atLeast"/>
        <w:rPr>
          <w:rFonts w:ascii="Times New Roman" w:eastAsia="Times New Roman" w:hAnsi="Times New Roman" w:cs="Times New Roman"/>
          <w:color w:val="000000"/>
          <w:sz w:val="28"/>
          <w:szCs w:val="28"/>
        </w:rPr>
      </w:pPr>
      <w:bookmarkStart w:id="74" w:name="khoan_1_2"/>
      <w:r w:rsidRPr="00584FED">
        <w:rPr>
          <w:rFonts w:ascii="Times New Roman" w:eastAsia="Times New Roman" w:hAnsi="Times New Roman" w:cs="Times New Roman"/>
          <w:color w:val="000000"/>
          <w:sz w:val="28"/>
          <w:szCs w:val="28"/>
          <w:shd w:val="clear" w:color="auto" w:fill="FFFF96"/>
          <w:lang w:val="vi-VN"/>
        </w:rPr>
        <w:t>1. Luật này có hiệu lực thi hành từ ngày 01 tháng 01 năm 2015.</w:t>
      </w:r>
      <w:bookmarkEnd w:id="74"/>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2. Chính phủ quy định chi tiết những điều, khoản được giao </w:t>
      </w:r>
      <w:r w:rsidRPr="00584FED">
        <w:rPr>
          <w:rFonts w:ascii="Times New Roman" w:eastAsia="Times New Roman" w:hAnsi="Times New Roman" w:cs="Times New Roman"/>
          <w:color w:val="000000"/>
          <w:sz w:val="28"/>
          <w:szCs w:val="28"/>
          <w:shd w:val="clear" w:color="auto" w:fill="FFFFFF"/>
          <w:lang w:val="vi-VN"/>
        </w:rPr>
        <w:t>trong</w:t>
      </w:r>
      <w:r w:rsidRPr="00584FED">
        <w:rPr>
          <w:rFonts w:ascii="Times New Roman" w:eastAsia="Times New Roman" w:hAnsi="Times New Roman" w:cs="Times New Roman"/>
          <w:color w:val="000000"/>
          <w:sz w:val="28"/>
          <w:szCs w:val="28"/>
          <w:lang w:val="vi-VN"/>
        </w:rPr>
        <w:t> Luật.</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i/>
          <w:iCs/>
          <w:color w:val="000000"/>
          <w:sz w:val="28"/>
          <w:szCs w:val="28"/>
          <w:lang w:val="vi-VN"/>
        </w:rPr>
        <w:t>Luật này đã được Quốc hội nước Cộng hòa xã hội chủ nghĩa Việt Nam khóa XIII, kỳ họp thứ 7 thông qua ngày 13 tháng 6 năm 2014.</w:t>
      </w:r>
    </w:p>
    <w:p w:rsidR="00584FED" w:rsidRPr="00584FED" w:rsidRDefault="00584FED" w:rsidP="00584FED">
      <w:pPr>
        <w:shd w:val="clear" w:color="auto" w:fill="FFFFFF"/>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4FED" w:rsidRPr="00584FED" w:rsidTr="00584FED">
        <w:trPr>
          <w:tblCellSpacing w:w="0" w:type="dxa"/>
        </w:trPr>
        <w:tc>
          <w:tcPr>
            <w:tcW w:w="4428" w:type="dxa"/>
            <w:shd w:val="clear" w:color="auto" w:fill="FFFFFF"/>
            <w:tcMar>
              <w:top w:w="0" w:type="dxa"/>
              <w:left w:w="108" w:type="dxa"/>
              <w:bottom w:w="0" w:type="dxa"/>
              <w:right w:w="108" w:type="dxa"/>
            </w:tcMar>
            <w:hideMark/>
          </w:tcPr>
          <w:p w:rsidR="00584FED" w:rsidRPr="00584FED" w:rsidRDefault="00584FED" w:rsidP="00584FED">
            <w:pPr>
              <w:spacing w:before="120" w:after="120" w:line="234" w:lineRule="atLeast"/>
              <w:rPr>
                <w:rFonts w:ascii="Times New Roman" w:eastAsia="Times New Roman" w:hAnsi="Times New Roman" w:cs="Times New Roman"/>
                <w:color w:val="000000"/>
                <w:sz w:val="28"/>
                <w:szCs w:val="28"/>
              </w:rPr>
            </w:pPr>
            <w:r w:rsidRPr="00584FED">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584FED" w:rsidRPr="00584FED" w:rsidRDefault="00584FED" w:rsidP="00584FED">
            <w:pPr>
              <w:spacing w:before="120" w:after="120" w:line="234" w:lineRule="atLeast"/>
              <w:jc w:val="center"/>
              <w:rPr>
                <w:rFonts w:ascii="Times New Roman" w:eastAsia="Times New Roman" w:hAnsi="Times New Roman" w:cs="Times New Roman"/>
                <w:color w:val="000000"/>
                <w:sz w:val="28"/>
                <w:szCs w:val="28"/>
              </w:rPr>
            </w:pPr>
            <w:r w:rsidRPr="00584FED">
              <w:rPr>
                <w:rFonts w:ascii="Times New Roman" w:eastAsia="Times New Roman" w:hAnsi="Times New Roman" w:cs="Times New Roman"/>
                <w:b/>
                <w:bCs/>
                <w:color w:val="000000"/>
                <w:sz w:val="28"/>
                <w:szCs w:val="28"/>
                <w:lang w:val="vi-VN"/>
              </w:rPr>
              <w:t>CHỦ TỊCH QUỐC HỘI</w:t>
            </w:r>
            <w:r w:rsidRPr="00584FED">
              <w:rPr>
                <w:rFonts w:ascii="Times New Roman" w:eastAsia="Times New Roman" w:hAnsi="Times New Roman" w:cs="Times New Roman"/>
                <w:b/>
                <w:bCs/>
                <w:color w:val="000000"/>
                <w:sz w:val="28"/>
                <w:szCs w:val="28"/>
                <w:lang w:val="vi-VN"/>
              </w:rPr>
              <w:br/>
            </w:r>
            <w:r w:rsidRPr="00584FED">
              <w:rPr>
                <w:rFonts w:ascii="Times New Roman" w:eastAsia="Times New Roman" w:hAnsi="Times New Roman" w:cs="Times New Roman"/>
                <w:b/>
                <w:bCs/>
                <w:color w:val="000000"/>
                <w:sz w:val="28"/>
                <w:szCs w:val="28"/>
                <w:lang w:val="vi-VN"/>
              </w:rPr>
              <w:br/>
            </w:r>
            <w:r w:rsidRPr="00584FED">
              <w:rPr>
                <w:rFonts w:ascii="Times New Roman" w:eastAsia="Times New Roman" w:hAnsi="Times New Roman" w:cs="Times New Roman"/>
                <w:b/>
                <w:bCs/>
                <w:color w:val="000000"/>
                <w:sz w:val="28"/>
                <w:szCs w:val="28"/>
                <w:lang w:val="vi-VN"/>
              </w:rPr>
              <w:br/>
            </w:r>
            <w:r w:rsidRPr="00584FED">
              <w:rPr>
                <w:rFonts w:ascii="Times New Roman" w:eastAsia="Times New Roman" w:hAnsi="Times New Roman" w:cs="Times New Roman"/>
                <w:b/>
                <w:bCs/>
                <w:color w:val="000000"/>
                <w:sz w:val="28"/>
                <w:szCs w:val="28"/>
                <w:lang w:val="vi-VN"/>
              </w:rPr>
              <w:br/>
            </w:r>
            <w:r w:rsidRPr="00584FED">
              <w:rPr>
                <w:rFonts w:ascii="Times New Roman" w:eastAsia="Times New Roman" w:hAnsi="Times New Roman" w:cs="Times New Roman"/>
                <w:b/>
                <w:bCs/>
                <w:color w:val="000000"/>
                <w:sz w:val="28"/>
                <w:szCs w:val="28"/>
                <w:lang w:val="vi-VN"/>
              </w:rPr>
              <w:br/>
              <w:t>Nguyễn Sinh Hùng</w:t>
            </w:r>
          </w:p>
        </w:tc>
      </w:tr>
    </w:tbl>
    <w:p w:rsidR="004629A6" w:rsidRPr="00584FED" w:rsidRDefault="004629A6">
      <w:pPr>
        <w:rPr>
          <w:rFonts w:ascii="Times New Roman" w:hAnsi="Times New Roman" w:cs="Times New Roman"/>
          <w:sz w:val="28"/>
          <w:szCs w:val="28"/>
        </w:rPr>
      </w:pPr>
    </w:p>
    <w:sectPr w:rsidR="004629A6" w:rsidRPr="00584FE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28" w:rsidRDefault="004B0A28" w:rsidP="00A709ED">
      <w:pPr>
        <w:spacing w:after="0" w:line="240" w:lineRule="auto"/>
      </w:pPr>
      <w:r>
        <w:separator/>
      </w:r>
    </w:p>
  </w:endnote>
  <w:endnote w:type="continuationSeparator" w:id="0">
    <w:p w:rsidR="004B0A28" w:rsidRDefault="004B0A28" w:rsidP="00A7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ED" w:rsidRPr="00A74D2B" w:rsidRDefault="00A709ED" w:rsidP="00A709ED">
    <w:pPr>
      <w:pStyle w:val="Header"/>
      <w:jc w:val="center"/>
      <w:rPr>
        <w:rFonts w:ascii="Arial" w:hAnsi="Arial" w:cs="Arial"/>
        <w:b/>
        <w:color w:val="0070C0"/>
      </w:rPr>
    </w:pPr>
    <w:proofErr w:type="spellStart"/>
    <w:r w:rsidRPr="00A74D2B">
      <w:rPr>
        <w:rFonts w:ascii="Arial" w:hAnsi="Arial" w:cs="Arial"/>
        <w:b/>
        <w:color w:val="0070C0"/>
      </w:rPr>
      <w:t>Công</w:t>
    </w:r>
    <w:proofErr w:type="spellEnd"/>
    <w:r w:rsidRPr="00A74D2B">
      <w:rPr>
        <w:rFonts w:ascii="Arial" w:hAnsi="Arial" w:cs="Arial"/>
        <w:b/>
        <w:color w:val="0070C0"/>
      </w:rPr>
      <w:t xml:space="preserve"> </w:t>
    </w:r>
    <w:proofErr w:type="spellStart"/>
    <w:r w:rsidRPr="00A74D2B">
      <w:rPr>
        <w:rFonts w:ascii="Arial" w:hAnsi="Arial" w:cs="Arial"/>
        <w:b/>
        <w:color w:val="0070C0"/>
      </w:rPr>
      <w:t>ty</w:t>
    </w:r>
    <w:proofErr w:type="spellEnd"/>
    <w:r w:rsidRPr="00A74D2B">
      <w:rPr>
        <w:rFonts w:ascii="Arial" w:hAnsi="Arial" w:cs="Arial"/>
        <w:b/>
        <w:color w:val="0070C0"/>
      </w:rPr>
      <w:t xml:space="preserve"> </w:t>
    </w:r>
    <w:proofErr w:type="spellStart"/>
    <w:r w:rsidRPr="00A74D2B">
      <w:rPr>
        <w:rFonts w:ascii="Arial" w:hAnsi="Arial" w:cs="Arial"/>
        <w:b/>
        <w:color w:val="0070C0"/>
      </w:rPr>
      <w:t>Luật</w:t>
    </w:r>
    <w:proofErr w:type="spellEnd"/>
    <w:r w:rsidRPr="00A74D2B">
      <w:rPr>
        <w:rFonts w:ascii="Arial" w:hAnsi="Arial" w:cs="Arial"/>
        <w:b/>
        <w:color w:val="0070C0"/>
      </w:rPr>
      <w:t xml:space="preserve"> TNHH Sao </w:t>
    </w:r>
    <w:proofErr w:type="spellStart"/>
    <w:r w:rsidRPr="00A74D2B">
      <w:rPr>
        <w:rFonts w:ascii="Arial" w:hAnsi="Arial" w:cs="Arial"/>
        <w:b/>
        <w:color w:val="0070C0"/>
      </w:rPr>
      <w:t>Việt</w:t>
    </w:r>
    <w:proofErr w:type="spellEnd"/>
  </w:p>
  <w:p w:rsidR="00A709ED" w:rsidRPr="00A74D2B" w:rsidRDefault="00A709ED" w:rsidP="00A709ED">
    <w:pPr>
      <w:pStyle w:val="Header"/>
      <w:jc w:val="center"/>
      <w:rPr>
        <w:rFonts w:ascii="Arial" w:hAnsi="Arial" w:cs="Arial"/>
        <w:i/>
        <w:color w:val="0070C0"/>
      </w:rPr>
    </w:pPr>
    <w:r w:rsidRPr="00A74D2B">
      <w:rPr>
        <w:rFonts w:ascii="Arial" w:hAnsi="Arial" w:cs="Arial"/>
        <w:i/>
        <w:color w:val="0070C0"/>
      </w:rPr>
      <w:t>“</w:t>
    </w:r>
    <w:proofErr w:type="spellStart"/>
    <w:r w:rsidRPr="00A74D2B">
      <w:rPr>
        <w:rFonts w:ascii="Arial" w:hAnsi="Arial" w:cs="Arial"/>
        <w:i/>
        <w:color w:val="0070C0"/>
      </w:rPr>
      <w:t>Sự</w:t>
    </w:r>
    <w:proofErr w:type="spellEnd"/>
    <w:r w:rsidRPr="00A74D2B">
      <w:rPr>
        <w:rFonts w:ascii="Arial" w:hAnsi="Arial" w:cs="Arial"/>
        <w:i/>
        <w:color w:val="0070C0"/>
      </w:rPr>
      <w:t xml:space="preserve"> </w:t>
    </w:r>
    <w:proofErr w:type="spellStart"/>
    <w:r w:rsidRPr="00A74D2B">
      <w:rPr>
        <w:rFonts w:ascii="Arial" w:hAnsi="Arial" w:cs="Arial"/>
        <w:i/>
        <w:color w:val="0070C0"/>
      </w:rPr>
      <w:t>bảo</w:t>
    </w:r>
    <w:proofErr w:type="spellEnd"/>
    <w:r w:rsidRPr="00A74D2B">
      <w:rPr>
        <w:rFonts w:ascii="Arial" w:hAnsi="Arial" w:cs="Arial"/>
        <w:i/>
        <w:color w:val="0070C0"/>
      </w:rPr>
      <w:t xml:space="preserve"> </w:t>
    </w:r>
    <w:proofErr w:type="spellStart"/>
    <w:r w:rsidRPr="00A74D2B">
      <w:rPr>
        <w:rFonts w:ascii="Arial" w:hAnsi="Arial" w:cs="Arial"/>
        <w:i/>
        <w:color w:val="0070C0"/>
      </w:rPr>
      <w:t>hộ</w:t>
    </w:r>
    <w:proofErr w:type="spellEnd"/>
    <w:r w:rsidRPr="00A74D2B">
      <w:rPr>
        <w:rFonts w:ascii="Arial" w:hAnsi="Arial" w:cs="Arial"/>
        <w:i/>
        <w:color w:val="0070C0"/>
      </w:rPr>
      <w:t xml:space="preserve"> </w:t>
    </w:r>
    <w:proofErr w:type="spellStart"/>
    <w:r w:rsidRPr="00A74D2B">
      <w:rPr>
        <w:rFonts w:ascii="Arial" w:hAnsi="Arial" w:cs="Arial"/>
        <w:i/>
        <w:color w:val="0070C0"/>
      </w:rPr>
      <w:t>hoàn</w:t>
    </w:r>
    <w:proofErr w:type="spellEnd"/>
    <w:r w:rsidRPr="00A74D2B">
      <w:rPr>
        <w:rFonts w:ascii="Arial" w:hAnsi="Arial" w:cs="Arial"/>
        <w:i/>
        <w:color w:val="0070C0"/>
      </w:rPr>
      <w:t xml:space="preserve"> </w:t>
    </w:r>
    <w:proofErr w:type="spellStart"/>
    <w:r w:rsidRPr="00A74D2B">
      <w:rPr>
        <w:rFonts w:ascii="Arial" w:hAnsi="Arial" w:cs="Arial"/>
        <w:i/>
        <w:color w:val="0070C0"/>
      </w:rPr>
      <w:t>hảo</w:t>
    </w:r>
    <w:proofErr w:type="spellEnd"/>
    <w:r w:rsidRPr="00A74D2B">
      <w:rPr>
        <w:rFonts w:ascii="Arial" w:hAnsi="Arial" w:cs="Arial"/>
        <w:i/>
        <w:color w:val="0070C0"/>
      </w:rPr>
      <w:t xml:space="preserve"> </w:t>
    </w:r>
    <w:proofErr w:type="spellStart"/>
    <w:r w:rsidRPr="00A74D2B">
      <w:rPr>
        <w:rFonts w:ascii="Arial" w:hAnsi="Arial" w:cs="Arial"/>
        <w:i/>
        <w:color w:val="0070C0"/>
      </w:rPr>
      <w:t>trong</w:t>
    </w:r>
    <w:proofErr w:type="spellEnd"/>
    <w:r w:rsidRPr="00A74D2B">
      <w:rPr>
        <w:rFonts w:ascii="Arial" w:hAnsi="Arial" w:cs="Arial"/>
        <w:i/>
        <w:color w:val="0070C0"/>
      </w:rPr>
      <w:t xml:space="preserve"> </w:t>
    </w:r>
    <w:proofErr w:type="spellStart"/>
    <w:r w:rsidRPr="00A74D2B">
      <w:rPr>
        <w:rFonts w:ascii="Arial" w:hAnsi="Arial" w:cs="Arial"/>
        <w:i/>
        <w:color w:val="0070C0"/>
      </w:rPr>
      <w:t>mọi</w:t>
    </w:r>
    <w:proofErr w:type="spellEnd"/>
    <w:r w:rsidRPr="00A74D2B">
      <w:rPr>
        <w:rFonts w:ascii="Arial" w:hAnsi="Arial" w:cs="Arial"/>
        <w:i/>
        <w:color w:val="0070C0"/>
      </w:rPr>
      <w:t xml:space="preserve"> </w:t>
    </w:r>
    <w:proofErr w:type="spellStart"/>
    <w:r w:rsidRPr="00A74D2B">
      <w:rPr>
        <w:rFonts w:ascii="Arial" w:hAnsi="Arial" w:cs="Arial"/>
        <w:i/>
        <w:color w:val="0070C0"/>
      </w:rPr>
      <w:t>quan</w:t>
    </w:r>
    <w:proofErr w:type="spellEnd"/>
    <w:r w:rsidRPr="00A74D2B">
      <w:rPr>
        <w:rFonts w:ascii="Arial" w:hAnsi="Arial" w:cs="Arial"/>
        <w:i/>
        <w:color w:val="0070C0"/>
      </w:rPr>
      <w:t xml:space="preserve"> </w:t>
    </w:r>
    <w:proofErr w:type="spellStart"/>
    <w:r w:rsidRPr="00A74D2B">
      <w:rPr>
        <w:rFonts w:ascii="Arial" w:hAnsi="Arial" w:cs="Arial"/>
        <w:i/>
        <w:color w:val="0070C0"/>
      </w:rPr>
      <w:t>hệ</w:t>
    </w:r>
    <w:proofErr w:type="spellEnd"/>
    <w:r w:rsidRPr="00A74D2B">
      <w:rPr>
        <w:rFonts w:ascii="Arial" w:hAnsi="Arial" w:cs="Arial"/>
        <w:i/>
        <w:color w:val="0070C0"/>
      </w:rPr>
      <w:t xml:space="preserve"> </w:t>
    </w:r>
    <w:proofErr w:type="spellStart"/>
    <w:r w:rsidRPr="00A74D2B">
      <w:rPr>
        <w:rFonts w:ascii="Arial" w:hAnsi="Arial" w:cs="Arial"/>
        <w:i/>
        <w:color w:val="0070C0"/>
      </w:rPr>
      <w:t>pháp</w:t>
    </w:r>
    <w:proofErr w:type="spellEnd"/>
    <w:r w:rsidRPr="00A74D2B">
      <w:rPr>
        <w:rFonts w:ascii="Arial" w:hAnsi="Arial" w:cs="Arial"/>
        <w:i/>
        <w:color w:val="0070C0"/>
      </w:rPr>
      <w:t xml:space="preserve"> </w:t>
    </w:r>
    <w:proofErr w:type="spellStart"/>
    <w:r w:rsidRPr="00A74D2B">
      <w:rPr>
        <w:rFonts w:ascii="Arial" w:hAnsi="Arial" w:cs="Arial"/>
        <w:i/>
        <w:color w:val="0070C0"/>
      </w:rPr>
      <w:t>luật</w:t>
    </w:r>
    <w:proofErr w:type="spellEnd"/>
    <w:r w:rsidRPr="00A74D2B">
      <w:rPr>
        <w:rFonts w:ascii="Arial" w:hAnsi="Arial" w:cs="Arial"/>
        <w:i/>
        <w:color w:val="0070C0"/>
      </w:rPr>
      <w:t>”</w:t>
    </w:r>
  </w:p>
  <w:p w:rsidR="00A709ED" w:rsidRPr="00A74D2B" w:rsidRDefault="00A709ED" w:rsidP="00A709ED">
    <w:pPr>
      <w:pStyle w:val="Header"/>
      <w:jc w:val="center"/>
      <w:rPr>
        <w:rFonts w:ascii="Arial" w:hAnsi="Arial" w:cs="Arial"/>
        <w:color w:val="FF0000"/>
      </w:rPr>
    </w:pPr>
    <w:r w:rsidRPr="00A74D2B">
      <w:rPr>
        <w:rFonts w:ascii="Arial" w:hAnsi="Arial" w:cs="Arial"/>
        <w:color w:val="FF0000"/>
      </w:rPr>
      <w:t xml:space="preserve">Web: saovietlaw.com/ </w:t>
    </w:r>
    <w:proofErr w:type="spellStart"/>
    <w:r w:rsidRPr="00A74D2B">
      <w:rPr>
        <w:rFonts w:ascii="Arial" w:hAnsi="Arial" w:cs="Arial"/>
        <w:color w:val="FF0000"/>
      </w:rPr>
      <w:t>Tổng</w:t>
    </w:r>
    <w:proofErr w:type="spellEnd"/>
    <w:r w:rsidRPr="00A74D2B">
      <w:rPr>
        <w:rFonts w:ascii="Arial" w:hAnsi="Arial" w:cs="Arial"/>
        <w:color w:val="FF0000"/>
      </w:rPr>
      <w:t xml:space="preserve"> </w:t>
    </w:r>
    <w:proofErr w:type="spellStart"/>
    <w:r w:rsidRPr="00A74D2B">
      <w:rPr>
        <w:rFonts w:ascii="Arial" w:hAnsi="Arial" w:cs="Arial"/>
        <w:color w:val="FF0000"/>
      </w:rPr>
      <w:t>đài</w:t>
    </w:r>
    <w:proofErr w:type="spellEnd"/>
    <w:r w:rsidRPr="00A74D2B">
      <w:rPr>
        <w:rFonts w:ascii="Arial" w:hAnsi="Arial" w:cs="Arial"/>
        <w:color w:val="FF0000"/>
      </w:rPr>
      <w:t xml:space="preserve"> 1900 6243</w:t>
    </w:r>
  </w:p>
  <w:p w:rsidR="00A709ED" w:rsidRPr="00A74D2B" w:rsidRDefault="00A709ED" w:rsidP="00A709ED">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A709ED" w:rsidRDefault="00A709ED" w:rsidP="00A709ED">
    <w:pPr>
      <w:tabs>
        <w:tab w:val="center" w:pos="4680"/>
      </w:tabs>
      <w:rPr>
        <w:rFonts w:cs="Times New Roman"/>
        <w:sz w:val="24"/>
        <w:szCs w:val="24"/>
      </w:rPr>
    </w:pPr>
    <w:r>
      <w:rPr>
        <w:rFonts w:cs="Times New Roman"/>
        <w:sz w:val="24"/>
        <w:szCs w:val="24"/>
      </w:rPr>
      <w:t xml:space="preserve">             </w:t>
    </w:r>
    <w:r>
      <w:rPr>
        <w:rFonts w:cs="Times New Roman"/>
        <w:sz w:val="24"/>
        <w:szCs w:val="24"/>
      </w:rPr>
      <w:tab/>
    </w:r>
  </w:p>
  <w:p w:rsidR="00A709ED" w:rsidRDefault="00A709E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4</w:t>
    </w:r>
    <w:r>
      <w:rPr>
        <w:caps/>
        <w:noProof/>
        <w:color w:val="5B9BD5" w:themeColor="accent1"/>
      </w:rPr>
      <w:fldChar w:fldCharType="end"/>
    </w:r>
  </w:p>
  <w:p w:rsidR="00A709ED" w:rsidRDefault="00A70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28" w:rsidRDefault="004B0A28" w:rsidP="00A709ED">
      <w:pPr>
        <w:spacing w:after="0" w:line="240" w:lineRule="auto"/>
      </w:pPr>
      <w:r>
        <w:separator/>
      </w:r>
    </w:p>
  </w:footnote>
  <w:footnote w:type="continuationSeparator" w:id="0">
    <w:p w:rsidR="004B0A28" w:rsidRDefault="004B0A28" w:rsidP="00A70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ED"/>
    <w:rsid w:val="004629A6"/>
    <w:rsid w:val="004B0A28"/>
    <w:rsid w:val="00584FED"/>
    <w:rsid w:val="00A7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8152-732A-4035-93D6-0BAEC931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F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0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9ED"/>
  </w:style>
  <w:style w:type="paragraph" w:styleId="Footer">
    <w:name w:val="footer"/>
    <w:basedOn w:val="Normal"/>
    <w:link w:val="FooterChar"/>
    <w:uiPriority w:val="99"/>
    <w:unhideWhenUsed/>
    <w:rsid w:val="00A70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4747</Words>
  <Characters>27063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2</cp:revision>
  <dcterms:created xsi:type="dcterms:W3CDTF">2019-09-05T08:02:00Z</dcterms:created>
  <dcterms:modified xsi:type="dcterms:W3CDTF">2019-09-05T08:03:00Z</dcterms:modified>
</cp:coreProperties>
</file>